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2123C" w14:textId="77777777" w:rsidR="00B43AC9" w:rsidRDefault="00B43AC9" w:rsidP="00FB4346">
      <w:pPr>
        <w:spacing w:line="252" w:lineRule="auto"/>
        <w:jc w:val="left"/>
        <w:rPr>
          <w:rFonts w:cs="Calibri"/>
          <w:b/>
          <w:bCs/>
          <w:smallCaps/>
          <w:szCs w:val="22"/>
        </w:rPr>
      </w:pPr>
    </w:p>
    <w:p w14:paraId="1C328767" w14:textId="496EDD36" w:rsidR="00785F23" w:rsidRPr="00785F23" w:rsidRDefault="00785F23" w:rsidP="00FB4346">
      <w:pPr>
        <w:spacing w:line="252" w:lineRule="auto"/>
        <w:jc w:val="left"/>
        <w:rPr>
          <w:rFonts w:cs="Calibri"/>
          <w:b/>
          <w:bCs/>
          <w:smallCaps/>
          <w:szCs w:val="22"/>
        </w:rPr>
      </w:pPr>
      <w:r w:rsidRPr="00785F23">
        <w:rPr>
          <w:rFonts w:cs="Calibri"/>
          <w:b/>
          <w:bCs/>
          <w:smallCaps/>
          <w:szCs w:val="22"/>
        </w:rPr>
        <w:t xml:space="preserve">Omówienie przyjętych zasad (polityki) rachunkowości, w tym metod wyceny aktywów i pasywów (także amortyzacji), ustalenia wyniku finansowego oraz sposobu sporządzenia sprawozdania finansowego w zakresie, w jakim ustawa </w:t>
      </w:r>
      <w:r w:rsidR="00B5322B">
        <w:rPr>
          <w:rFonts w:cs="Calibri"/>
          <w:b/>
          <w:bCs/>
          <w:smallCaps/>
          <w:szCs w:val="22"/>
        </w:rPr>
        <w:t xml:space="preserve">o rachunkowości </w:t>
      </w:r>
      <w:r w:rsidRPr="00785F23">
        <w:rPr>
          <w:rFonts w:cs="Calibri"/>
          <w:b/>
          <w:bCs/>
          <w:smallCaps/>
          <w:szCs w:val="22"/>
        </w:rPr>
        <w:t>pozostawia jednostce prawo wyboru</w:t>
      </w:r>
      <w:r w:rsidR="0050533F">
        <w:rPr>
          <w:rFonts w:cs="Calibri"/>
          <w:b/>
          <w:bCs/>
          <w:smallCaps/>
          <w:szCs w:val="22"/>
        </w:rPr>
        <w:t xml:space="preserve"> </w:t>
      </w:r>
    </w:p>
    <w:p w14:paraId="59813AC8" w14:textId="77777777" w:rsidR="00785F23" w:rsidRDefault="00785F23" w:rsidP="00FB4346">
      <w:pPr>
        <w:tabs>
          <w:tab w:val="left" w:pos="0"/>
        </w:tabs>
        <w:spacing w:line="252" w:lineRule="auto"/>
        <w:jc w:val="left"/>
        <w:rPr>
          <w:rFonts w:cs="Calibri"/>
          <w:b/>
          <w:bCs/>
          <w:szCs w:val="22"/>
        </w:rPr>
      </w:pPr>
    </w:p>
    <w:p w14:paraId="4DB8E59E" w14:textId="77777777" w:rsidR="00901361" w:rsidRPr="00C75EDE" w:rsidRDefault="00901361" w:rsidP="00FB4346">
      <w:pPr>
        <w:pStyle w:val="Nagwek1"/>
        <w:numPr>
          <w:ilvl w:val="0"/>
          <w:numId w:val="5"/>
        </w:numPr>
        <w:jc w:val="left"/>
      </w:pPr>
      <w:r w:rsidRPr="00C75EDE">
        <w:t>Zasady przyjęte przy sporządzeniu sprawozdania finansowego</w:t>
      </w:r>
    </w:p>
    <w:p w14:paraId="1E348A52" w14:textId="77777777" w:rsidR="00757595" w:rsidRPr="00816F7D" w:rsidRDefault="00757595" w:rsidP="00FB4346">
      <w:pPr>
        <w:jc w:val="left"/>
        <w:rPr>
          <w:rFonts w:cs="Calibri"/>
          <w:iCs/>
          <w:szCs w:val="22"/>
        </w:rPr>
      </w:pPr>
      <w:r w:rsidRPr="00816F7D">
        <w:rPr>
          <w:rFonts w:cs="Calibri"/>
          <w:iCs/>
          <w:szCs w:val="22"/>
        </w:rPr>
        <w:t>Sprawozdanie zawiera dane dotyczące Spółki i obejmuje:</w:t>
      </w:r>
    </w:p>
    <w:p w14:paraId="60AB1E10" w14:textId="035842DC" w:rsidR="00757595" w:rsidRPr="00816F7D" w:rsidRDefault="00C063E8" w:rsidP="00C063E8">
      <w:pPr>
        <w:jc w:val="left"/>
        <w:rPr>
          <w:rFonts w:cs="Calibri"/>
          <w:szCs w:val="22"/>
        </w:rPr>
      </w:pPr>
      <w:r>
        <w:rPr>
          <w:rFonts w:cs="Calibri"/>
          <w:szCs w:val="22"/>
        </w:rPr>
        <w:t xml:space="preserve">- </w:t>
      </w:r>
      <w:r w:rsidR="00757595" w:rsidRPr="00816F7D">
        <w:rPr>
          <w:rFonts w:cs="Calibri"/>
          <w:szCs w:val="22"/>
        </w:rPr>
        <w:t>bilans,</w:t>
      </w:r>
    </w:p>
    <w:p w14:paraId="1FAD4772" w14:textId="48B95020" w:rsidR="00757595" w:rsidRDefault="00C063E8" w:rsidP="00C063E8">
      <w:pPr>
        <w:jc w:val="left"/>
        <w:rPr>
          <w:rFonts w:cs="Calibri"/>
          <w:szCs w:val="22"/>
        </w:rPr>
      </w:pPr>
      <w:r>
        <w:rPr>
          <w:rFonts w:cs="Calibri"/>
          <w:szCs w:val="22"/>
        </w:rPr>
        <w:t xml:space="preserve">- </w:t>
      </w:r>
      <w:r w:rsidR="00757595" w:rsidRPr="00816F7D">
        <w:rPr>
          <w:rFonts w:cs="Calibri"/>
          <w:szCs w:val="22"/>
        </w:rPr>
        <w:t>rachunek zysków i strat,</w:t>
      </w:r>
    </w:p>
    <w:p w14:paraId="49B6D621" w14:textId="26847FB3" w:rsidR="00757595" w:rsidRPr="00C063E8" w:rsidRDefault="00C063E8" w:rsidP="00C063E8">
      <w:pPr>
        <w:jc w:val="left"/>
        <w:rPr>
          <w:rFonts w:cs="Calibri"/>
          <w:szCs w:val="22"/>
          <w:highlight w:val="yellow"/>
        </w:rPr>
      </w:pPr>
      <w:r>
        <w:rPr>
          <w:rFonts w:cs="Calibri"/>
          <w:szCs w:val="22"/>
          <w:highlight w:val="yellow"/>
        </w:rPr>
        <w:t xml:space="preserve">- </w:t>
      </w:r>
      <w:r w:rsidR="00757595" w:rsidRPr="00C063E8">
        <w:rPr>
          <w:rFonts w:cs="Calibri"/>
          <w:szCs w:val="22"/>
          <w:highlight w:val="yellow"/>
        </w:rPr>
        <w:t>rachunek przepływów pieniężnych,</w:t>
      </w:r>
    </w:p>
    <w:p w14:paraId="75E32921" w14:textId="2B80199E" w:rsidR="00757595" w:rsidRPr="00C063E8" w:rsidRDefault="00C063E8" w:rsidP="00C063E8">
      <w:pPr>
        <w:jc w:val="left"/>
        <w:rPr>
          <w:rFonts w:cs="Calibri"/>
          <w:szCs w:val="22"/>
          <w:highlight w:val="yellow"/>
        </w:rPr>
      </w:pPr>
      <w:r>
        <w:rPr>
          <w:rFonts w:cs="Calibri"/>
          <w:szCs w:val="22"/>
          <w:highlight w:val="yellow"/>
        </w:rPr>
        <w:t xml:space="preserve">- </w:t>
      </w:r>
      <w:r w:rsidR="00757595" w:rsidRPr="00C063E8">
        <w:rPr>
          <w:rFonts w:cs="Calibri"/>
          <w:szCs w:val="22"/>
          <w:highlight w:val="yellow"/>
        </w:rPr>
        <w:t>zestawienie zmian w kapitale własnym,</w:t>
      </w:r>
    </w:p>
    <w:p w14:paraId="559AAF03" w14:textId="41B04163" w:rsidR="00757595" w:rsidRDefault="00C063E8" w:rsidP="00C063E8">
      <w:pPr>
        <w:jc w:val="left"/>
        <w:rPr>
          <w:rFonts w:cs="Calibri"/>
          <w:iCs/>
          <w:szCs w:val="22"/>
        </w:rPr>
      </w:pPr>
      <w:r>
        <w:rPr>
          <w:rFonts w:cs="Calibri"/>
          <w:iCs/>
          <w:szCs w:val="22"/>
        </w:rPr>
        <w:t xml:space="preserve">- </w:t>
      </w:r>
      <w:r w:rsidR="00757595">
        <w:rPr>
          <w:rFonts w:cs="Calibri"/>
          <w:iCs/>
          <w:szCs w:val="22"/>
        </w:rPr>
        <w:t xml:space="preserve">informację dodatkową, zawierającą wprowadzenie do sprawozdania finansowego oraz dodatkowe informacje i objaśnienia. </w:t>
      </w:r>
    </w:p>
    <w:p w14:paraId="494DCBDE" w14:textId="77777777" w:rsidR="00226200" w:rsidRDefault="00226200" w:rsidP="00FB4346">
      <w:pPr>
        <w:jc w:val="left"/>
        <w:rPr>
          <w:rFonts w:cs="Calibri"/>
          <w:iCs/>
          <w:szCs w:val="22"/>
        </w:rPr>
      </w:pPr>
      <w:r>
        <w:rPr>
          <w:rFonts w:cs="Calibri"/>
          <w:iCs/>
          <w:szCs w:val="22"/>
        </w:rPr>
        <w:t>Spół</w:t>
      </w:r>
      <w:r w:rsidR="00675CD5">
        <w:rPr>
          <w:rFonts w:cs="Calibri"/>
          <w:iCs/>
          <w:szCs w:val="22"/>
        </w:rPr>
        <w:t>k</w:t>
      </w:r>
      <w:r>
        <w:rPr>
          <w:rFonts w:cs="Calibri"/>
          <w:iCs/>
          <w:szCs w:val="22"/>
        </w:rPr>
        <w:t>a sporządza r</w:t>
      </w:r>
      <w:r w:rsidRPr="00C75EDE">
        <w:rPr>
          <w:rFonts w:cs="Calibri"/>
          <w:iCs/>
          <w:szCs w:val="22"/>
        </w:rPr>
        <w:t xml:space="preserve">achunek </w:t>
      </w:r>
      <w:r w:rsidR="009707B9" w:rsidRPr="00C75EDE">
        <w:rPr>
          <w:rFonts w:cs="Calibri"/>
          <w:iCs/>
          <w:szCs w:val="22"/>
        </w:rPr>
        <w:t xml:space="preserve">zysków i strat w wariancie </w:t>
      </w:r>
      <w:r w:rsidR="009707B9" w:rsidRPr="00C75EDE">
        <w:rPr>
          <w:rFonts w:cs="Calibri"/>
          <w:iCs/>
          <w:szCs w:val="22"/>
          <w:highlight w:val="yellow"/>
        </w:rPr>
        <w:t>porównawczym/kalkulacyjnym.</w:t>
      </w:r>
      <w:r w:rsidR="009707B9" w:rsidRPr="00C75EDE">
        <w:rPr>
          <w:rFonts w:cs="Calibri"/>
          <w:iCs/>
          <w:szCs w:val="22"/>
        </w:rPr>
        <w:t xml:space="preserve"> </w:t>
      </w:r>
    </w:p>
    <w:p w14:paraId="4892EBF3" w14:textId="4052AA51" w:rsidR="00824FCD" w:rsidRDefault="00901361" w:rsidP="00FB4346">
      <w:pPr>
        <w:jc w:val="left"/>
        <w:rPr>
          <w:rFonts w:cs="Calibri"/>
          <w:iCs/>
          <w:szCs w:val="22"/>
        </w:rPr>
      </w:pPr>
      <w:r w:rsidRPr="00C75EDE">
        <w:rPr>
          <w:rFonts w:cs="Calibri"/>
          <w:iCs/>
          <w:szCs w:val="22"/>
        </w:rPr>
        <w:t xml:space="preserve">Rachunek przepływów pieniężnych jest sporządzony metodą </w:t>
      </w:r>
      <w:r w:rsidRPr="00C75EDE">
        <w:rPr>
          <w:rFonts w:cs="Calibri"/>
          <w:iCs/>
          <w:szCs w:val="22"/>
          <w:highlight w:val="yellow"/>
        </w:rPr>
        <w:t>pośrednią/bezpośrednią</w:t>
      </w:r>
      <w:r w:rsidR="00B31A94" w:rsidRPr="00C75EDE">
        <w:rPr>
          <w:rFonts w:cs="Calibri"/>
          <w:iCs/>
          <w:szCs w:val="22"/>
        </w:rPr>
        <w:t>.</w:t>
      </w:r>
      <w:r w:rsidRPr="00C75EDE">
        <w:rPr>
          <w:rFonts w:cs="Calibri"/>
          <w:iCs/>
          <w:szCs w:val="22"/>
        </w:rPr>
        <w:t xml:space="preserve"> </w:t>
      </w:r>
    </w:p>
    <w:p w14:paraId="130291EB" w14:textId="77777777" w:rsidR="001167D9" w:rsidRDefault="001167D9" w:rsidP="00FB4346">
      <w:pPr>
        <w:jc w:val="left"/>
        <w:rPr>
          <w:rFonts w:cs="Calibri"/>
          <w:iCs/>
          <w:szCs w:val="22"/>
        </w:rPr>
      </w:pPr>
      <w:r w:rsidRPr="00C75EDE">
        <w:rPr>
          <w:rFonts w:cs="Calibri"/>
          <w:iCs/>
          <w:szCs w:val="22"/>
        </w:rPr>
        <w:t xml:space="preserve">Walutą sprawozdawczą jest </w:t>
      </w:r>
      <w:r w:rsidRPr="00C75EDE">
        <w:rPr>
          <w:rFonts w:cs="Calibri"/>
          <w:iCs/>
          <w:szCs w:val="22"/>
          <w:highlight w:val="yellow"/>
        </w:rPr>
        <w:t>…………………………..</w:t>
      </w:r>
    </w:p>
    <w:p w14:paraId="720B5EA3" w14:textId="496B7C84" w:rsidR="00E7562D" w:rsidRPr="00C75EDE" w:rsidRDefault="00E7562D" w:rsidP="00FB4346">
      <w:pPr>
        <w:jc w:val="left"/>
        <w:rPr>
          <w:rFonts w:cs="Calibri"/>
          <w:iCs/>
          <w:szCs w:val="22"/>
        </w:rPr>
      </w:pPr>
      <w:r w:rsidRPr="00E7562D">
        <w:rPr>
          <w:rFonts w:cs="Calibri"/>
          <w:iCs/>
          <w:szCs w:val="22"/>
          <w:highlight w:val="yellow"/>
        </w:rPr>
        <w:t xml:space="preserve">Jednostka wykazuje dane liczbowe w zaokrągleniu do tysięcy złotych, gdyż nie zniekształca to obrazu </w:t>
      </w:r>
      <w:r w:rsidR="006A2AA7">
        <w:rPr>
          <w:rFonts w:cs="Calibri"/>
          <w:iCs/>
          <w:szCs w:val="22"/>
          <w:highlight w:val="yellow"/>
        </w:rPr>
        <w:t>J</w:t>
      </w:r>
      <w:r w:rsidRPr="00E7562D">
        <w:rPr>
          <w:rFonts w:cs="Calibri"/>
          <w:iCs/>
          <w:szCs w:val="22"/>
          <w:highlight w:val="yellow"/>
        </w:rPr>
        <w:t>ednostki zawartego w sprawozdaniu finansowym oraz w sprawozdaniu z działalności</w:t>
      </w:r>
      <w:r>
        <w:rPr>
          <w:rFonts w:cs="Calibri"/>
          <w:iCs/>
          <w:szCs w:val="22"/>
        </w:rPr>
        <w:t>.</w:t>
      </w:r>
    </w:p>
    <w:p w14:paraId="4D38399D" w14:textId="77777777" w:rsidR="00901361" w:rsidRPr="00B43AC9" w:rsidRDefault="00901361" w:rsidP="00FB4346">
      <w:pPr>
        <w:pStyle w:val="Nagwek1"/>
        <w:numPr>
          <w:ilvl w:val="0"/>
          <w:numId w:val="5"/>
        </w:numPr>
        <w:jc w:val="left"/>
      </w:pPr>
      <w:r w:rsidRPr="00B43AC9">
        <w:t>Zastosowane zasady i metody rachunkowości</w:t>
      </w:r>
    </w:p>
    <w:p w14:paraId="01072490" w14:textId="61F1F2BF" w:rsidR="00901361" w:rsidRDefault="00901361" w:rsidP="00FB4346">
      <w:pPr>
        <w:jc w:val="left"/>
      </w:pPr>
      <w:r w:rsidRPr="00C75EDE">
        <w:t>Zasady rachunkowości przyjęte przy sporządzaniu sprawozdania finansowego są zgodne z</w:t>
      </w:r>
      <w:r w:rsidR="00F61BEB">
        <w:t> </w:t>
      </w:r>
      <w:r w:rsidRPr="00C75EDE">
        <w:t xml:space="preserve">Ustawą </w:t>
      </w:r>
      <w:r w:rsidR="00575541">
        <w:br/>
      </w:r>
      <w:r w:rsidRPr="00C75EDE">
        <w:t>z</w:t>
      </w:r>
      <w:r w:rsidR="00431766">
        <w:t xml:space="preserve"> dnia</w:t>
      </w:r>
      <w:r w:rsidRPr="00C75EDE">
        <w:t xml:space="preserve"> 29 września 1994 </w:t>
      </w:r>
      <w:r w:rsidR="00431766">
        <w:t>r.</w:t>
      </w:r>
      <w:r w:rsidR="00575541" w:rsidRPr="00C75EDE">
        <w:t xml:space="preserve"> </w:t>
      </w:r>
      <w:r w:rsidR="007B6A34">
        <w:t>o r</w:t>
      </w:r>
      <w:r w:rsidR="007B6A34" w:rsidRPr="00C75EDE">
        <w:t>achunkowości</w:t>
      </w:r>
      <w:r w:rsidR="00AA5372">
        <w:t xml:space="preserve"> (</w:t>
      </w:r>
      <w:proofErr w:type="spellStart"/>
      <w:r w:rsidR="00AA5372">
        <w:t>t.j</w:t>
      </w:r>
      <w:proofErr w:type="spellEnd"/>
      <w:r w:rsidR="00AA5372">
        <w:t xml:space="preserve">. </w:t>
      </w:r>
      <w:r w:rsidR="00AA5372" w:rsidRPr="00AA5372">
        <w:t>Dz.U.202</w:t>
      </w:r>
      <w:r w:rsidR="00ED1B69">
        <w:t>3</w:t>
      </w:r>
      <w:r w:rsidR="00AA5372">
        <w:t xml:space="preserve"> poz. </w:t>
      </w:r>
      <w:r w:rsidR="00ED1B69">
        <w:t>120</w:t>
      </w:r>
      <w:r w:rsidR="00AA5372" w:rsidRPr="00AA5372">
        <w:t xml:space="preserve"> </w:t>
      </w:r>
      <w:r w:rsidR="001603C7">
        <w:t>ze zm.</w:t>
      </w:r>
      <w:r w:rsidR="00AA5372">
        <w:t>)</w:t>
      </w:r>
      <w:r w:rsidRPr="00C75EDE">
        <w:t xml:space="preserve">, zwaną dalej </w:t>
      </w:r>
      <w:r w:rsidR="00B45CDC">
        <w:t>u</w:t>
      </w:r>
      <w:r w:rsidR="00B45CDC" w:rsidRPr="00C75EDE">
        <w:t>stawą</w:t>
      </w:r>
      <w:r w:rsidR="00B45CDC">
        <w:t xml:space="preserve"> </w:t>
      </w:r>
      <w:r w:rsidR="008C045F">
        <w:t>o</w:t>
      </w:r>
      <w:r w:rsidR="00AA5372">
        <w:t> </w:t>
      </w:r>
      <w:r w:rsidR="008C045F">
        <w:t xml:space="preserve">rachunkowości. </w:t>
      </w:r>
    </w:p>
    <w:p w14:paraId="6E467FD7" w14:textId="1BB03BAB" w:rsidR="00C246DA" w:rsidRDefault="00C246DA" w:rsidP="00FB4346">
      <w:pPr>
        <w:jc w:val="left"/>
        <w:rPr>
          <w:rFonts w:cs="Calibri"/>
          <w:iCs/>
          <w:szCs w:val="22"/>
        </w:rPr>
      </w:pPr>
      <w:r w:rsidRPr="00C75EDE">
        <w:rPr>
          <w:rFonts w:cs="Calibri"/>
          <w:iCs/>
          <w:szCs w:val="22"/>
        </w:rPr>
        <w:t>Wynik finansowy za dany okres obejmuje wszystkie osiągnięte i przypadające na jej rzecz przychody oraz związane z tymi przychodami kosztami zgodnie z zasadami memoriału, współmierności przychodów i kosztów oraz ostrożnej wyceny.</w:t>
      </w:r>
    </w:p>
    <w:p w14:paraId="0A126AB4" w14:textId="77777777" w:rsidR="00901361" w:rsidRDefault="00901361" w:rsidP="00FB4346">
      <w:pPr>
        <w:jc w:val="left"/>
      </w:pPr>
      <w:r w:rsidRPr="00C75EDE">
        <w:t>Poszczególne składniki aktywów i pasywów wycenia się stosując rzeczywiście poniesione na ich nabycie ceny, z zachowaniem zasady ostrożności.</w:t>
      </w:r>
    </w:p>
    <w:p w14:paraId="3A0D4815" w14:textId="09446EB4" w:rsidR="00ED1B69" w:rsidRPr="00C75EDE" w:rsidRDefault="00ED1B69" w:rsidP="00FB4346">
      <w:pPr>
        <w:jc w:val="left"/>
      </w:pPr>
      <w:r>
        <w:t>[</w:t>
      </w:r>
      <w:r w:rsidR="007666E3" w:rsidRPr="007666E3">
        <w:rPr>
          <w:highlight w:val="yellow"/>
        </w:rPr>
        <w:t xml:space="preserve">w przypadku odstąpienia od stosowania przepisu </w:t>
      </w:r>
      <w:proofErr w:type="spellStart"/>
      <w:r w:rsidR="007666E3" w:rsidRPr="007666E3">
        <w:rPr>
          <w:highlight w:val="yellow"/>
        </w:rPr>
        <w:t>uor</w:t>
      </w:r>
      <w:proofErr w:type="spellEnd"/>
      <w:r w:rsidR="007666E3" w:rsidRPr="007666E3">
        <w:rPr>
          <w:highlight w:val="yellow"/>
        </w:rPr>
        <w:t xml:space="preserve"> na podstawie art. 4 ust. 1b należy poinformować we wprowadzeniu lub w nocie objaśniającej o przyczynach jego niezastosowania oraz określić wpływ, jaki niezastosowanie przepisu wywiera na obraz sytuacji majątkowej i finansowej oraz wynik finansowy jednostki</w:t>
      </w:r>
      <w:r>
        <w:t>]</w:t>
      </w:r>
    </w:p>
    <w:p w14:paraId="7F942C51" w14:textId="3393FF35" w:rsidR="00901361" w:rsidRPr="00B43AC9" w:rsidRDefault="00901361" w:rsidP="00FB4346">
      <w:pPr>
        <w:pStyle w:val="Nagwek1"/>
        <w:numPr>
          <w:ilvl w:val="1"/>
          <w:numId w:val="5"/>
        </w:numPr>
        <w:ind w:left="993" w:hanging="709"/>
        <w:jc w:val="left"/>
      </w:pPr>
      <w:r w:rsidRPr="00B43AC9">
        <w:t xml:space="preserve">Wartości niematerialne i prawne, </w:t>
      </w:r>
      <w:r w:rsidR="00BA4A39">
        <w:t>rzeczowe aktywa trwałe</w:t>
      </w:r>
    </w:p>
    <w:p w14:paraId="72751C37" w14:textId="77777777" w:rsidR="009707B9" w:rsidRDefault="00886BC7" w:rsidP="00FB4346">
      <w:pPr>
        <w:jc w:val="left"/>
      </w:pPr>
      <w:r>
        <w:t>Wartości niematerialne i prawne oraz</w:t>
      </w:r>
      <w:r w:rsidR="00901361" w:rsidRPr="00C75EDE">
        <w:t xml:space="preserve"> środki trwałe wycenia się według cen nabycia lub kosztów wytworzenia, </w:t>
      </w:r>
      <w:r w:rsidRPr="00886BC7">
        <w:t>lub wartości przeszacowanej (po aktualizacji wyceny środków trwałych) pomniejszonych o odpisy amortyzacyjne lub umorzeniowe, a także o odpisy z tytułu trwałej utraty wartości</w:t>
      </w:r>
      <w:r w:rsidR="00901361" w:rsidRPr="00C75EDE">
        <w:t xml:space="preserve">. </w:t>
      </w:r>
    </w:p>
    <w:p w14:paraId="11C86B16" w14:textId="77777777" w:rsidR="00886BC7" w:rsidRPr="00C75EDE" w:rsidRDefault="00886BC7" w:rsidP="00FB4346">
      <w:pPr>
        <w:jc w:val="left"/>
      </w:pPr>
      <w:r>
        <w:lastRenderedPageBreak/>
        <w:t>Środki trwałe w budowie wycenia się na dzień bilansowy</w:t>
      </w:r>
      <w:r w:rsidRPr="00886BC7">
        <w:t xml:space="preserve"> w wysokości ogółu kosztów pozostających </w:t>
      </w:r>
      <w:r>
        <w:br/>
      </w:r>
      <w:r w:rsidRPr="00886BC7">
        <w:t>w bezpośrednim związku z ich nabyciem lub wytworzeniem, pomniejszonych o odpisy z tytułu trwałej utraty wartości</w:t>
      </w:r>
      <w:r>
        <w:t>.</w:t>
      </w:r>
    </w:p>
    <w:p w14:paraId="00460E84" w14:textId="52EDC5E5" w:rsidR="00161F86" w:rsidRDefault="00901361" w:rsidP="00FB4346">
      <w:pPr>
        <w:jc w:val="left"/>
      </w:pPr>
      <w:r w:rsidRPr="00C75EDE">
        <w:t xml:space="preserve">Odpisy amortyzacyjne są dokonywane przy zastosowaniu metody </w:t>
      </w:r>
      <w:r w:rsidRPr="00C75EDE">
        <w:rPr>
          <w:highlight w:val="yellow"/>
        </w:rPr>
        <w:t>liniowej</w:t>
      </w:r>
      <w:r w:rsidR="00FC670C" w:rsidRPr="00B11F99">
        <w:rPr>
          <w:highlight w:val="green"/>
        </w:rPr>
        <w:t>/ degresywnej/</w:t>
      </w:r>
      <w:r w:rsidRPr="00B11F99">
        <w:rPr>
          <w:highlight w:val="green"/>
        </w:rPr>
        <w:t xml:space="preserve"> naturalnej</w:t>
      </w:r>
      <w:r w:rsidR="00161F86">
        <w:t xml:space="preserve">, </w:t>
      </w:r>
      <w:r w:rsidR="00161F86" w:rsidRPr="00B11F99">
        <w:rPr>
          <w:highlight w:val="yellow"/>
        </w:rPr>
        <w:t>gdzie podstawą, od której nalicza się amortyzację, jest wartość początkowa środka trwałego.</w:t>
      </w:r>
      <w:bookmarkStart w:id="0" w:name="_Hlk107956963"/>
      <w:r w:rsidR="00161F86" w:rsidRPr="00B11F99">
        <w:rPr>
          <w:highlight w:val="yellow"/>
        </w:rPr>
        <w:t xml:space="preserve"> </w:t>
      </w:r>
      <w:r w:rsidR="00161F86">
        <w:rPr>
          <w:highlight w:val="yellow"/>
        </w:rPr>
        <w:t xml:space="preserve">Rozpoczęcie amortyzacji ma miejsce w miesiącu następującym po miesiącu, w którym środki trwałe zostały przyjęte do ewidencji. </w:t>
      </w:r>
      <w:r w:rsidR="00161F86" w:rsidRPr="00B11F99">
        <w:rPr>
          <w:highlight w:val="yellow"/>
        </w:rPr>
        <w:t xml:space="preserve">Jeżeli wartość </w:t>
      </w:r>
      <w:r w:rsidR="00161F86">
        <w:rPr>
          <w:highlight w:val="yellow"/>
        </w:rPr>
        <w:t xml:space="preserve">początkowa środka trwałego </w:t>
      </w:r>
      <w:r w:rsidR="00161F86" w:rsidRPr="00B11F99">
        <w:rPr>
          <w:highlight w:val="yellow"/>
        </w:rPr>
        <w:t>wzrosła wobec ulepszenia środka trwałego lub zmalała wobec jego częściowej likwidacji, to począwszy od miesiąca następującego po miesiącu, kiedy skutki te ujęto w ewidencji środków trwałych – amortyzację przypadającą na dany i następne okresy roku nalicza się od odpowiednio zmienionej podstawy.</w:t>
      </w:r>
      <w:r w:rsidR="00161F86">
        <w:t xml:space="preserve"> </w:t>
      </w:r>
    </w:p>
    <w:p w14:paraId="50C0DD45" w14:textId="5C81F2A2" w:rsidR="00901361" w:rsidRDefault="00FC670C" w:rsidP="00FB4346">
      <w:pPr>
        <w:jc w:val="left"/>
      </w:pPr>
      <w:r w:rsidRPr="00FC670C">
        <w:t>Przy ustalaniu okresu amortyzacji i rocznej stawki amortyzacyjnej uwzględnia się okres ekonomicznej użyteczności środka trwałego</w:t>
      </w:r>
      <w:r>
        <w:t>.</w:t>
      </w:r>
      <w:bookmarkEnd w:id="0"/>
    </w:p>
    <w:p w14:paraId="0B8F4311" w14:textId="77777777" w:rsidR="00C6668B" w:rsidRPr="00B11F99" w:rsidRDefault="00C6668B" w:rsidP="00FB4346">
      <w:pPr>
        <w:jc w:val="left"/>
        <w:rPr>
          <w:highlight w:val="yellow"/>
        </w:rPr>
      </w:pPr>
      <w:r w:rsidRPr="00B11F99">
        <w:rPr>
          <w:highlight w:val="yellow"/>
        </w:rPr>
        <w:t xml:space="preserve">Koszty zakończonych prac rozwojowych odpisuje się przez okres ekonomicznej użyteczności rezultatów prac rozwojowych. Jeżeli w wyjątkowych przypadkach nie można wiarygodnie oszacować okresu ekonomicznej użyteczności rezultatów zakończonych prac rozwojowych, to okres dokonywania odpisów nie przekracza 5 lat. </w:t>
      </w:r>
    </w:p>
    <w:p w14:paraId="120C98D4" w14:textId="6AAEFA74" w:rsidR="00C6668B" w:rsidRPr="00B11F99" w:rsidRDefault="00C6668B" w:rsidP="00FB4346">
      <w:pPr>
        <w:jc w:val="left"/>
        <w:rPr>
          <w:highlight w:val="yellow"/>
        </w:rPr>
      </w:pPr>
      <w:r w:rsidRPr="00B11F99">
        <w:rPr>
          <w:highlight w:val="yellow"/>
        </w:rPr>
        <w:t xml:space="preserve">Do momentu zakończenia prac rozwojowych </w:t>
      </w:r>
      <w:r>
        <w:rPr>
          <w:highlight w:val="yellow"/>
        </w:rPr>
        <w:t xml:space="preserve">Spółka </w:t>
      </w:r>
      <w:r w:rsidRPr="00B11F99">
        <w:rPr>
          <w:highlight w:val="yellow"/>
        </w:rPr>
        <w:t xml:space="preserve">prezentuje poniesione nakłady na te prace </w:t>
      </w:r>
      <w:r>
        <w:rPr>
          <w:highlight w:val="yellow"/>
        </w:rPr>
        <w:br/>
      </w:r>
      <w:r w:rsidRPr="00B11F99">
        <w:rPr>
          <w:highlight w:val="yellow"/>
        </w:rPr>
        <w:t>w pozycji A.V.2. „Inne rozliczenia międzyokresowe”</w:t>
      </w:r>
      <w:r w:rsidR="00CD6F59">
        <w:rPr>
          <w:highlight w:val="yellow"/>
        </w:rPr>
        <w:t xml:space="preserve">, jeśli </w:t>
      </w:r>
      <w:r w:rsidRPr="00B11F99">
        <w:rPr>
          <w:highlight w:val="yellow"/>
        </w:rPr>
        <w:t xml:space="preserve">według przeprowadzonych szacunków i najlepszej wiedzy Zarządu </w:t>
      </w:r>
      <w:r>
        <w:rPr>
          <w:highlight w:val="yellow"/>
        </w:rPr>
        <w:t xml:space="preserve">Spółki </w:t>
      </w:r>
      <w:r w:rsidRPr="00B11F99">
        <w:rPr>
          <w:highlight w:val="yellow"/>
        </w:rPr>
        <w:t>powstała w ich wyniku technologia lub nowy produkt przyniesie korzyści ekonomiczne wyższe niż poniesione do dnia bilansowego oraz planowane do poniesienia nakłady.</w:t>
      </w:r>
    </w:p>
    <w:p w14:paraId="084FB298" w14:textId="628D50DA" w:rsidR="00C6668B" w:rsidRDefault="00C6668B" w:rsidP="00FB4346">
      <w:pPr>
        <w:jc w:val="left"/>
      </w:pPr>
      <w:r w:rsidRPr="00B11F99">
        <w:rPr>
          <w:highlight w:val="yellow"/>
        </w:rPr>
        <w:t>Koszty prac rozwojowych księgowane są poprzez koszty zespołu „4” w korespondencji ze „zmianą stanu produktów”.</w:t>
      </w:r>
      <w:r>
        <w:t xml:space="preserve"> </w:t>
      </w:r>
    </w:p>
    <w:p w14:paraId="1B5ADEFB" w14:textId="56125982" w:rsidR="001462F2" w:rsidRPr="00B11F99" w:rsidRDefault="001462F2" w:rsidP="00FB4346">
      <w:pPr>
        <w:jc w:val="left"/>
        <w:rPr>
          <w:highlight w:val="yellow"/>
        </w:rPr>
      </w:pPr>
      <w:r w:rsidRPr="00B11F99">
        <w:rPr>
          <w:highlight w:val="yellow"/>
        </w:rPr>
        <w:t xml:space="preserve">Koszty prac badawczych są ujmowane w </w:t>
      </w:r>
      <w:r w:rsidR="000D12E1">
        <w:rPr>
          <w:highlight w:val="yellow"/>
        </w:rPr>
        <w:t>ciężar kosztów w</w:t>
      </w:r>
      <w:r w:rsidRPr="00B11F99">
        <w:rPr>
          <w:highlight w:val="yellow"/>
        </w:rPr>
        <w:t xml:space="preserve"> momencie ich poniesienia. </w:t>
      </w:r>
    </w:p>
    <w:p w14:paraId="10A332D8" w14:textId="5BD0F2C7" w:rsidR="00901361" w:rsidRPr="00C75EDE" w:rsidRDefault="00C246DA" w:rsidP="00FB4346">
      <w:pPr>
        <w:jc w:val="left"/>
      </w:pPr>
      <w:bookmarkStart w:id="1" w:name="_Hlk90669879"/>
      <w:r>
        <w:t>W ramach uproszczenia</w:t>
      </w:r>
      <w:r w:rsidR="002A2C11">
        <w:t>, o którym mowa w art. 4 ust. 4 ustawy o rachunkowości</w:t>
      </w:r>
      <w:r w:rsidR="00B45CDC">
        <w:t>,</w:t>
      </w:r>
      <w:r w:rsidR="002A2C11">
        <w:t xml:space="preserve"> w</w:t>
      </w:r>
      <w:r w:rsidR="00901361" w:rsidRPr="00C75EDE">
        <w:t xml:space="preserve">artości niematerialne i prawne oraz środki trwałe o wartości początkowej </w:t>
      </w:r>
      <w:r w:rsidR="00490536" w:rsidRPr="00C75EDE">
        <w:t>nieprzekraczającej</w:t>
      </w:r>
      <w:r w:rsidR="00901361" w:rsidRPr="00C75EDE">
        <w:t xml:space="preserve"> </w:t>
      </w:r>
      <w:r w:rsidR="00785F23">
        <w:rPr>
          <w:highlight w:val="yellow"/>
        </w:rPr>
        <w:t>10</w:t>
      </w:r>
      <w:r w:rsidR="00563D9D">
        <w:rPr>
          <w:highlight w:val="yellow"/>
        </w:rPr>
        <w:t xml:space="preserve"> </w:t>
      </w:r>
      <w:r w:rsidR="00785F23">
        <w:rPr>
          <w:highlight w:val="yellow"/>
        </w:rPr>
        <w:t>0</w:t>
      </w:r>
      <w:r w:rsidR="00901361" w:rsidRPr="00D259EF">
        <w:rPr>
          <w:highlight w:val="yellow"/>
        </w:rPr>
        <w:t>00</w:t>
      </w:r>
      <w:r w:rsidR="00815D0B" w:rsidRPr="00D259EF">
        <w:rPr>
          <w:highlight w:val="yellow"/>
        </w:rPr>
        <w:t>,00</w:t>
      </w:r>
      <w:r w:rsidR="00901361" w:rsidRPr="00D259EF">
        <w:rPr>
          <w:highlight w:val="yellow"/>
        </w:rPr>
        <w:t> zł</w:t>
      </w:r>
      <w:r w:rsidR="00901361" w:rsidRPr="00C75EDE">
        <w:t xml:space="preserve"> obciążają koszty działalności jednorazowo w miesiącu oddania ich do użytkowania.</w:t>
      </w:r>
      <w:r>
        <w:t xml:space="preserve"> </w:t>
      </w:r>
    </w:p>
    <w:bookmarkEnd w:id="1"/>
    <w:p w14:paraId="5FE250B3" w14:textId="77777777" w:rsidR="00901361" w:rsidRPr="00C75EDE" w:rsidRDefault="00901361" w:rsidP="00FB4346">
      <w:pPr>
        <w:jc w:val="left"/>
      </w:pPr>
      <w:r w:rsidRPr="00C75EDE">
        <w:t>Na składniki aktywów</w:t>
      </w:r>
      <w:r w:rsidR="007559CF" w:rsidRPr="00C75EDE">
        <w:t xml:space="preserve">, </w:t>
      </w:r>
      <w:r w:rsidRPr="00C75EDE">
        <w:t xml:space="preserve">co do których istnieje </w:t>
      </w:r>
      <w:r w:rsidR="002A2C11">
        <w:t>duże prawdopodobieństwo</w:t>
      </w:r>
      <w:r w:rsidRPr="00C75EDE">
        <w:t xml:space="preserve">, że w dającej się przewidzieć przyszłości </w:t>
      </w:r>
      <w:r w:rsidR="002A2C11" w:rsidRPr="002A2C11">
        <w:t xml:space="preserve">nie </w:t>
      </w:r>
      <w:r w:rsidR="002A2C11">
        <w:t xml:space="preserve">będą </w:t>
      </w:r>
      <w:r w:rsidR="002A2C11" w:rsidRPr="002A2C11">
        <w:t>przyn</w:t>
      </w:r>
      <w:r w:rsidR="002A2C11">
        <w:t>osić</w:t>
      </w:r>
      <w:r w:rsidR="002A2C11" w:rsidRPr="002A2C11">
        <w:t xml:space="preserve"> w znaczącej części lub w całości przewidywanych korzyści ekonomicznych</w:t>
      </w:r>
      <w:r w:rsidR="002A2C11">
        <w:t xml:space="preserve">, </w:t>
      </w:r>
      <w:r w:rsidRPr="00C75EDE">
        <w:t>dokonuje się odpisu z tytułu trwałej utraty wartości.</w:t>
      </w:r>
      <w:r w:rsidR="002A2C11">
        <w:t xml:space="preserve"> </w:t>
      </w:r>
    </w:p>
    <w:p w14:paraId="083EC0C4" w14:textId="77777777" w:rsidR="00901361" w:rsidRPr="00C75EDE" w:rsidRDefault="00901361" w:rsidP="00FB4346">
      <w:pPr>
        <w:jc w:val="left"/>
      </w:pPr>
      <w:r w:rsidRPr="00C75EDE">
        <w:t xml:space="preserve">Spółka stosuje dla podstawowych grup majątku następujące </w:t>
      </w:r>
      <w:commentRangeStart w:id="2"/>
      <w:r w:rsidRPr="00C75EDE">
        <w:t>roczne stawki amortyzacyjne</w:t>
      </w:r>
      <w:commentRangeEnd w:id="2"/>
      <w:r w:rsidR="00977DA5">
        <w:rPr>
          <w:rStyle w:val="Odwoaniedokomentarza"/>
        </w:rPr>
        <w:commentReference w:id="2"/>
      </w:r>
      <w:r w:rsidRPr="00C75EDE">
        <w:t>:</w:t>
      </w:r>
    </w:p>
    <w:p w14:paraId="6A75DB98" w14:textId="77777777" w:rsidR="00901361" w:rsidRPr="00C75EDE" w:rsidRDefault="00901361" w:rsidP="00FB4346">
      <w:pPr>
        <w:pStyle w:val="Tekstpodstawowy"/>
        <w:spacing w:before="60" w:after="60" w:line="252" w:lineRule="auto"/>
        <w:ind w:left="425"/>
        <w:jc w:val="left"/>
        <w:rPr>
          <w:rFonts w:cs="Calibri"/>
          <w:i w:val="0"/>
          <w:szCs w:val="22"/>
        </w:rPr>
      </w:pPr>
      <w:r w:rsidRPr="00C75EDE">
        <w:rPr>
          <w:rFonts w:cs="Calibri"/>
          <w:i w:val="0"/>
          <w:szCs w:val="22"/>
        </w:rPr>
        <w:t>Dla wartości niematerialnych i prawnych:</w:t>
      </w:r>
    </w:p>
    <w:tbl>
      <w:tblPr>
        <w:tblW w:w="912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20"/>
        <w:gridCol w:w="1200"/>
      </w:tblGrid>
      <w:tr w:rsidR="00901361" w:rsidRPr="00C75EDE" w14:paraId="4CF59121" w14:textId="77777777" w:rsidTr="00602B0C">
        <w:tc>
          <w:tcPr>
            <w:tcW w:w="7920" w:type="dxa"/>
            <w:tcBorders>
              <w:top w:val="nil"/>
              <w:left w:val="nil"/>
              <w:bottom w:val="nil"/>
              <w:right w:val="nil"/>
            </w:tcBorders>
            <w:shd w:val="pct5" w:color="auto" w:fill="auto"/>
          </w:tcPr>
          <w:p w14:paraId="46763F7E" w14:textId="43BF3F0F"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9707B9" w:rsidRPr="00C75EDE">
              <w:rPr>
                <w:rFonts w:cs="Calibri"/>
                <w:i w:val="0"/>
                <w:szCs w:val="22"/>
              </w:rPr>
              <w:t>k</w:t>
            </w:r>
            <w:r w:rsidR="00901361" w:rsidRPr="00C75EDE">
              <w:rPr>
                <w:rFonts w:cs="Calibri"/>
                <w:i w:val="0"/>
                <w:szCs w:val="22"/>
              </w:rPr>
              <w:t>oszty zakończonych prac rozwojowych</w:t>
            </w:r>
          </w:p>
        </w:tc>
        <w:tc>
          <w:tcPr>
            <w:tcW w:w="1200" w:type="dxa"/>
            <w:tcBorders>
              <w:top w:val="nil"/>
              <w:left w:val="nil"/>
              <w:bottom w:val="nil"/>
              <w:right w:val="nil"/>
            </w:tcBorders>
            <w:shd w:val="pct5" w:color="auto" w:fill="auto"/>
          </w:tcPr>
          <w:p w14:paraId="416EA67B" w14:textId="77777777" w:rsidR="00901361" w:rsidRPr="00C75EDE" w:rsidRDefault="00901361" w:rsidP="00FB4346">
            <w:pPr>
              <w:pStyle w:val="Tekstpodstawowy"/>
              <w:spacing w:before="0" w:after="0" w:line="276" w:lineRule="auto"/>
              <w:ind w:left="-52" w:firstLine="52"/>
              <w:jc w:val="left"/>
              <w:rPr>
                <w:rFonts w:cs="Calibri"/>
                <w:i w:val="0"/>
                <w:szCs w:val="22"/>
              </w:rPr>
            </w:pPr>
          </w:p>
        </w:tc>
      </w:tr>
      <w:tr w:rsidR="00901361" w:rsidRPr="00C75EDE" w14:paraId="1F8D4D9F" w14:textId="77777777" w:rsidTr="001B52EA">
        <w:tc>
          <w:tcPr>
            <w:tcW w:w="7920" w:type="dxa"/>
            <w:tcBorders>
              <w:top w:val="nil"/>
              <w:left w:val="nil"/>
              <w:bottom w:val="nil"/>
              <w:right w:val="nil"/>
            </w:tcBorders>
          </w:tcPr>
          <w:p w14:paraId="03CD6DAB" w14:textId="0FE740B7"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9707B9" w:rsidRPr="00C75EDE">
              <w:rPr>
                <w:rFonts w:cs="Calibri"/>
                <w:i w:val="0"/>
                <w:szCs w:val="22"/>
              </w:rPr>
              <w:t>a</w:t>
            </w:r>
            <w:r w:rsidR="00901361" w:rsidRPr="00C75EDE">
              <w:rPr>
                <w:rFonts w:cs="Calibri"/>
                <w:i w:val="0"/>
                <w:szCs w:val="22"/>
              </w:rPr>
              <w:t>utorskie prawa majątkowe lub zrównane z nimi</w:t>
            </w:r>
          </w:p>
        </w:tc>
        <w:tc>
          <w:tcPr>
            <w:tcW w:w="1200" w:type="dxa"/>
            <w:tcBorders>
              <w:top w:val="nil"/>
              <w:left w:val="nil"/>
              <w:bottom w:val="nil"/>
              <w:right w:val="nil"/>
            </w:tcBorders>
            <w:shd w:val="clear" w:color="auto" w:fill="FFFFFF"/>
          </w:tcPr>
          <w:p w14:paraId="7AF4E1F4" w14:textId="77777777" w:rsidR="00901361" w:rsidRPr="00C75EDE" w:rsidRDefault="00901361" w:rsidP="00FB4346">
            <w:pPr>
              <w:pStyle w:val="Tekstpodstawowy"/>
              <w:spacing w:before="0" w:after="0" w:line="276" w:lineRule="auto"/>
              <w:ind w:left="-52" w:firstLine="52"/>
              <w:jc w:val="left"/>
              <w:rPr>
                <w:rFonts w:cs="Calibri"/>
                <w:i w:val="0"/>
                <w:szCs w:val="22"/>
              </w:rPr>
            </w:pPr>
          </w:p>
        </w:tc>
      </w:tr>
      <w:tr w:rsidR="00901361" w:rsidRPr="00C75EDE" w14:paraId="17E39037" w14:textId="77777777" w:rsidTr="00602B0C">
        <w:tc>
          <w:tcPr>
            <w:tcW w:w="7920" w:type="dxa"/>
            <w:tcBorders>
              <w:top w:val="nil"/>
              <w:left w:val="nil"/>
              <w:bottom w:val="nil"/>
              <w:right w:val="nil"/>
            </w:tcBorders>
            <w:shd w:val="pct5" w:color="auto" w:fill="auto"/>
          </w:tcPr>
          <w:p w14:paraId="0AE78988" w14:textId="64AE85FC"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9707B9" w:rsidRPr="00C75EDE">
              <w:rPr>
                <w:rFonts w:cs="Calibri"/>
                <w:i w:val="0"/>
                <w:szCs w:val="22"/>
              </w:rPr>
              <w:t>w</w:t>
            </w:r>
            <w:r w:rsidR="00901361" w:rsidRPr="00C75EDE">
              <w:rPr>
                <w:rFonts w:cs="Calibri"/>
                <w:i w:val="0"/>
                <w:szCs w:val="22"/>
              </w:rPr>
              <w:t>artość firmy</w:t>
            </w:r>
          </w:p>
        </w:tc>
        <w:tc>
          <w:tcPr>
            <w:tcW w:w="1200" w:type="dxa"/>
            <w:tcBorders>
              <w:top w:val="nil"/>
              <w:left w:val="nil"/>
              <w:bottom w:val="nil"/>
              <w:right w:val="nil"/>
            </w:tcBorders>
            <w:shd w:val="pct5" w:color="auto" w:fill="auto"/>
          </w:tcPr>
          <w:p w14:paraId="6F93E5CB" w14:textId="77777777" w:rsidR="00901361" w:rsidRPr="00C75EDE" w:rsidRDefault="00901361" w:rsidP="00FB4346">
            <w:pPr>
              <w:pStyle w:val="Tekstpodstawowy"/>
              <w:spacing w:before="0" w:after="0" w:line="276" w:lineRule="auto"/>
              <w:ind w:left="-52" w:firstLine="52"/>
              <w:jc w:val="left"/>
              <w:rPr>
                <w:rFonts w:cs="Calibri"/>
                <w:i w:val="0"/>
                <w:szCs w:val="22"/>
              </w:rPr>
            </w:pPr>
          </w:p>
        </w:tc>
      </w:tr>
      <w:tr w:rsidR="00901361" w:rsidRPr="00C75EDE" w14:paraId="1E1F4BC5" w14:textId="77777777" w:rsidTr="001B52EA">
        <w:tc>
          <w:tcPr>
            <w:tcW w:w="7920" w:type="dxa"/>
            <w:tcBorders>
              <w:top w:val="nil"/>
              <w:left w:val="nil"/>
              <w:bottom w:val="nil"/>
              <w:right w:val="nil"/>
            </w:tcBorders>
          </w:tcPr>
          <w:p w14:paraId="10203E03" w14:textId="21854C4F"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9707B9" w:rsidRPr="00C75EDE">
              <w:rPr>
                <w:rFonts w:cs="Calibri"/>
                <w:i w:val="0"/>
                <w:szCs w:val="22"/>
              </w:rPr>
              <w:t>i</w:t>
            </w:r>
            <w:r w:rsidR="00901361" w:rsidRPr="00C75EDE">
              <w:rPr>
                <w:rFonts w:cs="Calibri"/>
                <w:i w:val="0"/>
                <w:szCs w:val="22"/>
              </w:rPr>
              <w:t>nne wartości niematerialne i prawne</w:t>
            </w:r>
          </w:p>
        </w:tc>
        <w:tc>
          <w:tcPr>
            <w:tcW w:w="1200" w:type="dxa"/>
            <w:tcBorders>
              <w:top w:val="nil"/>
              <w:left w:val="nil"/>
              <w:bottom w:val="nil"/>
              <w:right w:val="nil"/>
            </w:tcBorders>
            <w:shd w:val="clear" w:color="auto" w:fill="FFFFFF"/>
          </w:tcPr>
          <w:p w14:paraId="3FF7BD20" w14:textId="77777777" w:rsidR="00901361" w:rsidRPr="00C75EDE" w:rsidRDefault="00901361" w:rsidP="00FB4346">
            <w:pPr>
              <w:pStyle w:val="Tekstpodstawowy"/>
              <w:spacing w:before="0" w:after="0" w:line="276" w:lineRule="auto"/>
              <w:ind w:left="-52" w:firstLine="52"/>
              <w:jc w:val="left"/>
              <w:rPr>
                <w:rFonts w:cs="Calibri"/>
                <w:i w:val="0"/>
                <w:szCs w:val="22"/>
              </w:rPr>
            </w:pPr>
          </w:p>
        </w:tc>
      </w:tr>
    </w:tbl>
    <w:p w14:paraId="31AA818F" w14:textId="77777777" w:rsidR="00901361" w:rsidRPr="00C75EDE" w:rsidRDefault="00901361" w:rsidP="00FB4346">
      <w:pPr>
        <w:pStyle w:val="Tekstpodstawowy"/>
        <w:tabs>
          <w:tab w:val="left" w:pos="4245"/>
        </w:tabs>
        <w:spacing w:before="60" w:after="60" w:line="252" w:lineRule="auto"/>
        <w:ind w:left="425"/>
        <w:jc w:val="left"/>
        <w:rPr>
          <w:rFonts w:cs="Calibri"/>
          <w:i w:val="0"/>
          <w:szCs w:val="22"/>
        </w:rPr>
      </w:pPr>
      <w:r w:rsidRPr="00C75EDE">
        <w:rPr>
          <w:rFonts w:cs="Calibri"/>
          <w:i w:val="0"/>
          <w:szCs w:val="22"/>
        </w:rPr>
        <w:t>Dla środków trwałych:</w:t>
      </w:r>
      <w:r w:rsidR="004C4040">
        <w:rPr>
          <w:rFonts w:cs="Calibri"/>
          <w:i w:val="0"/>
          <w:szCs w:val="22"/>
        </w:rPr>
        <w:tab/>
      </w:r>
    </w:p>
    <w:tbl>
      <w:tblPr>
        <w:tblW w:w="9072" w:type="dxa"/>
        <w:tblInd w:w="354" w:type="dxa"/>
        <w:tblLayout w:type="fixed"/>
        <w:tblCellMar>
          <w:left w:w="70" w:type="dxa"/>
          <w:right w:w="70" w:type="dxa"/>
        </w:tblCellMar>
        <w:tblLook w:val="0000" w:firstRow="0" w:lastRow="0" w:firstColumn="0" w:lastColumn="0" w:noHBand="0" w:noVBand="0"/>
      </w:tblPr>
      <w:tblGrid>
        <w:gridCol w:w="7938"/>
        <w:gridCol w:w="1134"/>
      </w:tblGrid>
      <w:tr w:rsidR="00901361" w:rsidRPr="00C75EDE" w14:paraId="1436F592" w14:textId="77777777" w:rsidTr="00602B0C">
        <w:tc>
          <w:tcPr>
            <w:tcW w:w="7938" w:type="dxa"/>
            <w:shd w:val="pct5" w:color="auto" w:fill="auto"/>
          </w:tcPr>
          <w:p w14:paraId="75391F3E" w14:textId="09A836B5"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B45CDC">
              <w:rPr>
                <w:rFonts w:cs="Calibri"/>
                <w:i w:val="0"/>
                <w:szCs w:val="22"/>
              </w:rPr>
              <w:t>b</w:t>
            </w:r>
            <w:r w:rsidR="00B45CDC" w:rsidRPr="00C75EDE">
              <w:rPr>
                <w:rFonts w:cs="Calibri"/>
                <w:i w:val="0"/>
                <w:szCs w:val="22"/>
              </w:rPr>
              <w:t xml:space="preserve">udynki </w:t>
            </w:r>
            <w:r w:rsidR="00901361" w:rsidRPr="00C75EDE">
              <w:rPr>
                <w:rFonts w:cs="Calibri"/>
                <w:i w:val="0"/>
                <w:szCs w:val="22"/>
              </w:rPr>
              <w:t>i budowle</w:t>
            </w:r>
          </w:p>
        </w:tc>
        <w:tc>
          <w:tcPr>
            <w:tcW w:w="1134" w:type="dxa"/>
            <w:shd w:val="pct5" w:color="auto" w:fill="auto"/>
          </w:tcPr>
          <w:p w14:paraId="2B7074A0" w14:textId="77777777" w:rsidR="00901361" w:rsidRPr="00C75EDE" w:rsidRDefault="00901361" w:rsidP="00FB4346">
            <w:pPr>
              <w:pStyle w:val="Tekstpodstawowy"/>
              <w:spacing w:before="0" w:after="0" w:line="276" w:lineRule="auto"/>
              <w:jc w:val="left"/>
              <w:rPr>
                <w:rFonts w:cs="Calibri"/>
                <w:i w:val="0"/>
                <w:szCs w:val="22"/>
              </w:rPr>
            </w:pPr>
          </w:p>
        </w:tc>
      </w:tr>
      <w:tr w:rsidR="00901361" w:rsidRPr="00C75EDE" w14:paraId="380404F0" w14:textId="77777777" w:rsidTr="00602B0C">
        <w:tc>
          <w:tcPr>
            <w:tcW w:w="7938" w:type="dxa"/>
          </w:tcPr>
          <w:p w14:paraId="1B77948B" w14:textId="72B8601E"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B45CDC">
              <w:rPr>
                <w:rFonts w:cs="Calibri"/>
                <w:i w:val="0"/>
                <w:szCs w:val="22"/>
              </w:rPr>
              <w:t>u</w:t>
            </w:r>
            <w:r w:rsidR="00B45CDC" w:rsidRPr="00C75EDE">
              <w:rPr>
                <w:rFonts w:cs="Calibri"/>
                <w:i w:val="0"/>
                <w:szCs w:val="22"/>
              </w:rPr>
              <w:t xml:space="preserve">rządzenia </w:t>
            </w:r>
            <w:r w:rsidR="00901361" w:rsidRPr="00C75EDE">
              <w:rPr>
                <w:rFonts w:cs="Calibri"/>
                <w:i w:val="0"/>
                <w:szCs w:val="22"/>
              </w:rPr>
              <w:t>techniczne i maszyny</w:t>
            </w:r>
          </w:p>
        </w:tc>
        <w:tc>
          <w:tcPr>
            <w:tcW w:w="1134" w:type="dxa"/>
          </w:tcPr>
          <w:p w14:paraId="558A5C4E" w14:textId="77777777" w:rsidR="00901361" w:rsidRPr="00C75EDE" w:rsidRDefault="00901361" w:rsidP="00FB4346">
            <w:pPr>
              <w:pStyle w:val="Tekstpodstawowy"/>
              <w:spacing w:before="0" w:after="0" w:line="276" w:lineRule="auto"/>
              <w:jc w:val="left"/>
              <w:rPr>
                <w:rFonts w:cs="Calibri"/>
                <w:i w:val="0"/>
                <w:szCs w:val="22"/>
              </w:rPr>
            </w:pPr>
          </w:p>
        </w:tc>
      </w:tr>
      <w:tr w:rsidR="00901361" w:rsidRPr="00C75EDE" w14:paraId="1364EA6D" w14:textId="77777777" w:rsidTr="00602B0C">
        <w:tc>
          <w:tcPr>
            <w:tcW w:w="7938" w:type="dxa"/>
            <w:shd w:val="pct5" w:color="auto" w:fill="auto"/>
          </w:tcPr>
          <w:p w14:paraId="0D3E348C" w14:textId="5956CC4C"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B45CDC">
              <w:rPr>
                <w:rFonts w:cs="Calibri"/>
                <w:i w:val="0"/>
                <w:szCs w:val="22"/>
              </w:rPr>
              <w:t>ś</w:t>
            </w:r>
            <w:r w:rsidR="00B45CDC" w:rsidRPr="00C75EDE">
              <w:rPr>
                <w:rFonts w:cs="Calibri"/>
                <w:i w:val="0"/>
                <w:szCs w:val="22"/>
              </w:rPr>
              <w:t xml:space="preserve">rodki </w:t>
            </w:r>
            <w:r w:rsidR="00901361" w:rsidRPr="00C75EDE">
              <w:rPr>
                <w:rFonts w:cs="Calibri"/>
                <w:i w:val="0"/>
                <w:szCs w:val="22"/>
              </w:rPr>
              <w:t>transportu</w:t>
            </w:r>
          </w:p>
        </w:tc>
        <w:tc>
          <w:tcPr>
            <w:tcW w:w="1134" w:type="dxa"/>
            <w:shd w:val="pct5" w:color="auto" w:fill="auto"/>
          </w:tcPr>
          <w:p w14:paraId="26728BAB" w14:textId="77777777" w:rsidR="00901361" w:rsidRPr="00C75EDE" w:rsidRDefault="00901361" w:rsidP="00FB4346">
            <w:pPr>
              <w:pStyle w:val="Tekstpodstawowy"/>
              <w:spacing w:before="0" w:after="0" w:line="276" w:lineRule="auto"/>
              <w:jc w:val="left"/>
              <w:rPr>
                <w:rFonts w:cs="Calibri"/>
                <w:i w:val="0"/>
                <w:szCs w:val="22"/>
              </w:rPr>
            </w:pPr>
          </w:p>
        </w:tc>
      </w:tr>
      <w:tr w:rsidR="00901361" w:rsidRPr="00C75EDE" w14:paraId="54938111" w14:textId="77777777" w:rsidTr="00602B0C">
        <w:tc>
          <w:tcPr>
            <w:tcW w:w="7938" w:type="dxa"/>
          </w:tcPr>
          <w:p w14:paraId="21822021" w14:textId="7AEFF49C" w:rsidR="00901361" w:rsidRPr="00C75EDE" w:rsidRDefault="00C063E8" w:rsidP="00C063E8">
            <w:pPr>
              <w:pStyle w:val="Tekstpodstawowy"/>
              <w:spacing w:before="0" w:after="0" w:line="276" w:lineRule="auto"/>
              <w:jc w:val="left"/>
              <w:rPr>
                <w:rFonts w:cs="Calibri"/>
                <w:i w:val="0"/>
                <w:szCs w:val="22"/>
              </w:rPr>
            </w:pPr>
            <w:r>
              <w:rPr>
                <w:rFonts w:cs="Calibri"/>
                <w:i w:val="0"/>
                <w:szCs w:val="22"/>
              </w:rPr>
              <w:t xml:space="preserve">- </w:t>
            </w:r>
            <w:r w:rsidR="00B45CDC">
              <w:rPr>
                <w:rFonts w:cs="Calibri"/>
                <w:i w:val="0"/>
                <w:szCs w:val="22"/>
              </w:rPr>
              <w:t>p</w:t>
            </w:r>
            <w:r w:rsidR="00B45CDC" w:rsidRPr="00C75EDE">
              <w:rPr>
                <w:rFonts w:cs="Calibri"/>
                <w:i w:val="0"/>
                <w:szCs w:val="22"/>
              </w:rPr>
              <w:t xml:space="preserve">ozostałe </w:t>
            </w:r>
            <w:r w:rsidR="00901361" w:rsidRPr="00C75EDE">
              <w:rPr>
                <w:rFonts w:cs="Calibri"/>
                <w:i w:val="0"/>
                <w:szCs w:val="22"/>
              </w:rPr>
              <w:t>środki trwałe</w:t>
            </w:r>
          </w:p>
        </w:tc>
        <w:tc>
          <w:tcPr>
            <w:tcW w:w="1134" w:type="dxa"/>
          </w:tcPr>
          <w:p w14:paraId="1817653D" w14:textId="77777777" w:rsidR="00901361" w:rsidRPr="00C75EDE" w:rsidRDefault="00901361" w:rsidP="00FB4346">
            <w:pPr>
              <w:pStyle w:val="Tekstpodstawowy"/>
              <w:spacing w:before="0" w:after="0" w:line="276" w:lineRule="auto"/>
              <w:jc w:val="left"/>
              <w:rPr>
                <w:rFonts w:cs="Calibri"/>
                <w:i w:val="0"/>
                <w:szCs w:val="22"/>
              </w:rPr>
            </w:pPr>
          </w:p>
        </w:tc>
      </w:tr>
    </w:tbl>
    <w:p w14:paraId="40F4C851" w14:textId="5F166093" w:rsidR="006A2AA7" w:rsidRDefault="006A2AA7" w:rsidP="006A2AA7">
      <w:pPr>
        <w:jc w:val="left"/>
      </w:pPr>
      <w:r>
        <w:lastRenderedPageBreak/>
        <w:t xml:space="preserve">Poprawność stosowanych okresów i stawek amortyzacji wartości niematerialnych i prawnych oraz środków trwałych jest przez Spółkę weryfikowana, powodując odpowiednią korektę dokonywanych w następnych latach odpisów amortyzacyjnych. </w:t>
      </w:r>
    </w:p>
    <w:p w14:paraId="0B2D827A" w14:textId="466F5260" w:rsidR="006A2AA7" w:rsidRDefault="000C7C42" w:rsidP="006A2AA7">
      <w:pPr>
        <w:jc w:val="left"/>
      </w:pPr>
      <w:r w:rsidRPr="000C7C42">
        <w:t xml:space="preserve">Wartości niematerialne i prawne w trakcie przystosowania do użytkowania Spółka prezentuje </w:t>
      </w:r>
      <w:r>
        <w:br/>
      </w:r>
      <w:r w:rsidRPr="000C7C42">
        <w:t xml:space="preserve">w pozycji </w:t>
      </w:r>
      <w:r w:rsidRPr="00C063E8">
        <w:rPr>
          <w:highlight w:val="yellow"/>
        </w:rPr>
        <w:t>„Zaliczki na wartości niematerialne i prawne” /„Długoterminowe rozliczenia międzyokresowe”</w:t>
      </w:r>
      <w:r>
        <w:t xml:space="preserve">. </w:t>
      </w:r>
    </w:p>
    <w:p w14:paraId="39CB53F3" w14:textId="401A0313" w:rsidR="00901361" w:rsidRDefault="00901361" w:rsidP="006A2AA7">
      <w:pPr>
        <w:jc w:val="left"/>
        <w:rPr>
          <w:iCs/>
          <w:color w:val="FF0000"/>
        </w:rPr>
      </w:pPr>
      <w:r w:rsidRPr="00C75EDE">
        <w:rPr>
          <w:highlight w:val="yellow"/>
        </w:rPr>
        <w:t xml:space="preserve">Posiadany rzeczowy majątek trwały podlegał ostatniej aktualizacji wyceny przeprowadzonej na dzień </w:t>
      </w:r>
      <w:r w:rsidR="001805B0">
        <w:rPr>
          <w:highlight w:val="yellow"/>
        </w:rPr>
        <w:t>XXXXXX</w:t>
      </w:r>
      <w:r w:rsidRPr="00C75EDE">
        <w:rPr>
          <w:highlight w:val="yellow"/>
        </w:rPr>
        <w:t xml:space="preserve"> r. </w:t>
      </w:r>
      <w:r w:rsidRPr="00C75EDE">
        <w:rPr>
          <w:iCs/>
          <w:color w:val="FF0000"/>
          <w:highlight w:val="yellow"/>
        </w:rPr>
        <w:t>(jeśli dotyczy)</w:t>
      </w:r>
    </w:p>
    <w:p w14:paraId="486064E6" w14:textId="6779D1AF" w:rsidR="001B7808" w:rsidRDefault="001B7808" w:rsidP="00FB4346">
      <w:pPr>
        <w:jc w:val="left"/>
        <w:rPr>
          <w:iCs/>
          <w:color w:val="FF0000"/>
        </w:rPr>
      </w:pPr>
      <w:r w:rsidRPr="001B7808">
        <w:rPr>
          <w:highlight w:val="yellow"/>
        </w:rPr>
        <w:t xml:space="preserve">Na podstawie art. 3 ust 6 ustawy o rachunkowości Spółka dokonuje kwalifikacji umów, </w:t>
      </w:r>
      <w:r>
        <w:rPr>
          <w:highlight w:val="yellow"/>
        </w:rPr>
        <w:br/>
      </w:r>
      <w:r w:rsidRPr="001B7808">
        <w:rPr>
          <w:highlight w:val="yellow"/>
        </w:rPr>
        <w:t>o których mowa w art. 3 ust. 4 ustawy</w:t>
      </w:r>
      <w:r w:rsidR="00B5322B" w:rsidRPr="00B5322B">
        <w:rPr>
          <w:highlight w:val="yellow"/>
        </w:rPr>
        <w:t xml:space="preserve"> o rachunkowości</w:t>
      </w:r>
      <w:r w:rsidRPr="001B7808">
        <w:rPr>
          <w:highlight w:val="yellow"/>
        </w:rPr>
        <w:t>, według zasad określonych w przepisach podatkowych.</w:t>
      </w:r>
      <w:r>
        <w:t xml:space="preserve"> </w:t>
      </w:r>
      <w:r w:rsidRPr="00C75EDE">
        <w:rPr>
          <w:iCs/>
          <w:color w:val="FF0000"/>
          <w:highlight w:val="yellow"/>
        </w:rPr>
        <w:t>(jeśli dotyczy)</w:t>
      </w:r>
      <w:r w:rsidR="00C246DA">
        <w:rPr>
          <w:iCs/>
          <w:color w:val="FF0000"/>
        </w:rPr>
        <w:t xml:space="preserve"> lub:</w:t>
      </w:r>
    </w:p>
    <w:p w14:paraId="2901ACD5" w14:textId="7F89685C" w:rsidR="00C246DA" w:rsidRPr="00C75EDE" w:rsidRDefault="00C246DA" w:rsidP="00FB4346">
      <w:pPr>
        <w:jc w:val="left"/>
      </w:pPr>
      <w:r w:rsidRPr="00C246DA">
        <w:rPr>
          <w:highlight w:val="yellow"/>
        </w:rPr>
        <w:t>Spółka dokonuje kwalifikacji umów, o których mowa w art. 3 ust. 4 ustawy</w:t>
      </w:r>
      <w:r w:rsidR="00B5322B" w:rsidRPr="00B5322B">
        <w:rPr>
          <w:highlight w:val="yellow"/>
        </w:rPr>
        <w:t xml:space="preserve"> o rachunkowości</w:t>
      </w:r>
      <w:r w:rsidRPr="00C246DA">
        <w:rPr>
          <w:highlight w:val="yellow"/>
        </w:rPr>
        <w:t xml:space="preserve">, według zasad określonych w </w:t>
      </w:r>
      <w:r w:rsidRPr="00B11F99">
        <w:rPr>
          <w:highlight w:val="yellow"/>
        </w:rPr>
        <w:t>ustawie o rachunkowości.</w:t>
      </w:r>
      <w:r>
        <w:t xml:space="preserve"> </w:t>
      </w:r>
    </w:p>
    <w:p w14:paraId="350B9A4E" w14:textId="77777777" w:rsidR="00901361" w:rsidRPr="00B43AC9" w:rsidRDefault="00901361" w:rsidP="00FB4346">
      <w:pPr>
        <w:pStyle w:val="Nagwek1"/>
        <w:numPr>
          <w:ilvl w:val="1"/>
          <w:numId w:val="5"/>
        </w:numPr>
        <w:ind w:left="993" w:hanging="709"/>
        <w:jc w:val="left"/>
      </w:pPr>
      <w:r w:rsidRPr="00B43AC9">
        <w:t>Inwestycje o charakterze trwałym</w:t>
      </w:r>
    </w:p>
    <w:p w14:paraId="192B7882" w14:textId="062228F3" w:rsidR="009707B9" w:rsidRPr="00C75EDE" w:rsidRDefault="00901361" w:rsidP="00FB4346">
      <w:pPr>
        <w:jc w:val="left"/>
      </w:pPr>
      <w:r w:rsidRPr="00C75EDE">
        <w:t>Nabyte lub powstałe aktywa finansowe oraz inne inwestycje ujmuje się w księgach rachunkowych na dzień ich nabycia lub</w:t>
      </w:r>
      <w:r w:rsidR="00505BFC">
        <w:t xml:space="preserve"> powstania według ceny nabycia lub </w:t>
      </w:r>
      <w:r w:rsidR="00505BFC" w:rsidRPr="00505BFC">
        <w:t xml:space="preserve">ceny zakupu, </w:t>
      </w:r>
      <w:r w:rsidR="00505BFC">
        <w:t>jeżeli</w:t>
      </w:r>
      <w:r w:rsidR="00505BFC" w:rsidRPr="00505BFC">
        <w:t xml:space="preserve"> koszty przeprowadzenia </w:t>
      </w:r>
      <w:r w:rsidR="009B1799">
        <w:br/>
      </w:r>
      <w:r w:rsidR="00505BFC" w:rsidRPr="00505BFC">
        <w:t>i rozliczenia transakcji nie są istotne</w:t>
      </w:r>
      <w:r w:rsidR="00505BFC">
        <w:t>.</w:t>
      </w:r>
    </w:p>
    <w:p w14:paraId="33BAC25C" w14:textId="23EEE937" w:rsidR="004967A9" w:rsidRDefault="00901361" w:rsidP="00FB4346">
      <w:pPr>
        <w:jc w:val="left"/>
      </w:pPr>
      <w:r w:rsidRPr="00C75EDE">
        <w:t xml:space="preserve">Na dzień bilansowy </w:t>
      </w:r>
      <w:r w:rsidR="004967A9" w:rsidRPr="004967A9">
        <w:t xml:space="preserve">nieruchomości oraz wartości niematerialne i prawne zaliczane do inwestycji </w:t>
      </w:r>
      <w:r w:rsidR="004967A9">
        <w:t>wycenia się</w:t>
      </w:r>
      <w:r w:rsidR="004967A9" w:rsidRPr="004967A9">
        <w:t xml:space="preserve"> według </w:t>
      </w:r>
      <w:r w:rsidR="004967A9" w:rsidRPr="004967A9">
        <w:rPr>
          <w:highlight w:val="yellow"/>
        </w:rPr>
        <w:t xml:space="preserve">zasad, stosowanych do środków trwałych oraz wartości niematerialnych </w:t>
      </w:r>
      <w:r w:rsidR="004967A9">
        <w:rPr>
          <w:highlight w:val="yellow"/>
        </w:rPr>
        <w:br/>
      </w:r>
      <w:r w:rsidR="004967A9" w:rsidRPr="004967A9">
        <w:rPr>
          <w:highlight w:val="yellow"/>
        </w:rPr>
        <w:t xml:space="preserve">i prawnych, określonych w pkt </w:t>
      </w:r>
      <w:r w:rsidR="00ED1B69">
        <w:rPr>
          <w:highlight w:val="yellow"/>
        </w:rPr>
        <w:t>2</w:t>
      </w:r>
      <w:r w:rsidR="004967A9" w:rsidRPr="004967A9">
        <w:rPr>
          <w:highlight w:val="yellow"/>
        </w:rPr>
        <w:t xml:space="preserve">.1. / </w:t>
      </w:r>
      <w:bookmarkStart w:id="4" w:name="_Hlk90670024"/>
      <w:r w:rsidR="004967A9" w:rsidRPr="004967A9">
        <w:rPr>
          <w:highlight w:val="yellow"/>
        </w:rPr>
        <w:t>według ceny rynkowej bądź inaczej określonej wartości godziwej</w:t>
      </w:r>
      <w:bookmarkEnd w:id="4"/>
      <w:r w:rsidR="004967A9" w:rsidRPr="004967A9">
        <w:rPr>
          <w:highlight w:val="yellow"/>
        </w:rPr>
        <w:t>.</w:t>
      </w:r>
    </w:p>
    <w:p w14:paraId="30BFED06" w14:textId="3593790A" w:rsidR="00BC74E1" w:rsidRPr="00BC74E1" w:rsidRDefault="00BC74E1" w:rsidP="00FB4346">
      <w:pPr>
        <w:jc w:val="left"/>
        <w:rPr>
          <w:i/>
          <w:iCs/>
          <w:color w:val="FF0000"/>
        </w:rPr>
      </w:pPr>
      <w:r w:rsidRPr="00BC74E1">
        <w:rPr>
          <w:i/>
          <w:highlight w:val="cyan"/>
        </w:rPr>
        <w:t>(</w:t>
      </w:r>
      <w:r w:rsidRPr="00BC74E1">
        <w:rPr>
          <w:i/>
          <w:color w:val="FF0000"/>
          <w:highlight w:val="cyan"/>
        </w:rPr>
        <w:t xml:space="preserve">w przypadku </w:t>
      </w:r>
      <w:r w:rsidRPr="00214E4A">
        <w:rPr>
          <w:i/>
          <w:color w:val="FF0000"/>
          <w:highlight w:val="cyan"/>
        </w:rPr>
        <w:t>działalności deweloperskiej</w:t>
      </w:r>
      <w:r w:rsidRPr="00BC74E1">
        <w:rPr>
          <w:i/>
          <w:highlight w:val="cyan"/>
        </w:rPr>
        <w:t>)</w:t>
      </w:r>
      <w:r w:rsidRPr="00214E4A">
        <w:rPr>
          <w:i/>
          <w:highlight w:val="cyan"/>
        </w:rPr>
        <w:t xml:space="preserve"> </w:t>
      </w:r>
      <w:r w:rsidRPr="00214E4A">
        <w:rPr>
          <w:highlight w:val="cyan"/>
        </w:rPr>
        <w:t>Do inwestycji w nieruchomości klasyfikuje się w przypadku działalności deweloperskiej nabyty grunt lub prawo wieczystego użytkowania gruntu (PWUG) bez zamiaru realizacji ściśle określonego przedsięwzięcia deweloperskiego. Poniesione koszty przystosowania takiego gruntu lub PWUG, w tym koszty odrolnienia, rekultywacji terenu, karczowania, rozbiórki zbędnych zabudowań</w:t>
      </w:r>
      <w:r w:rsidR="009B1799">
        <w:rPr>
          <w:highlight w:val="cyan"/>
        </w:rPr>
        <w:t>,</w:t>
      </w:r>
      <w:r w:rsidRPr="00214E4A">
        <w:rPr>
          <w:highlight w:val="cyan"/>
        </w:rPr>
        <w:t xml:space="preserve"> zwiększają one cenę nabycia. </w:t>
      </w:r>
      <w:r w:rsidRPr="00214E4A">
        <w:rPr>
          <w:i/>
          <w:iCs/>
          <w:color w:val="FF0000"/>
          <w:highlight w:val="cyan"/>
        </w:rPr>
        <w:t xml:space="preserve">(w przypadku jego wyceny w cenie nabycia) / </w:t>
      </w:r>
      <w:r w:rsidRPr="00214E4A">
        <w:rPr>
          <w:highlight w:val="cyan"/>
        </w:rPr>
        <w:t>obciążają pozostałe koszty operacyjne.</w:t>
      </w:r>
      <w:r w:rsidRPr="00214E4A">
        <w:rPr>
          <w:i/>
          <w:iCs/>
          <w:color w:val="FF0000"/>
          <w:highlight w:val="cyan"/>
        </w:rPr>
        <w:t xml:space="preserve"> (w przypadku wyceny w cenie rynkowej)</w:t>
      </w:r>
      <w:r w:rsidRPr="00BC74E1">
        <w:rPr>
          <w:i/>
          <w:iCs/>
          <w:color w:val="FF0000"/>
        </w:rPr>
        <w:t xml:space="preserve"> </w:t>
      </w:r>
    </w:p>
    <w:p w14:paraId="3F0DEAD7" w14:textId="37B807FD" w:rsidR="00821A17" w:rsidRDefault="004967A9" w:rsidP="00FB4346">
      <w:pPr>
        <w:jc w:val="left"/>
        <w:rPr>
          <w:highlight w:val="yellow"/>
        </w:rPr>
      </w:pPr>
      <w:r>
        <w:t xml:space="preserve">Na dzień bilansowy </w:t>
      </w:r>
      <w:r w:rsidR="00901361" w:rsidRPr="00C75EDE">
        <w:t>udziały w innych jednostkach oraz inne inwestycje zaliczane do aktywów trwałych są wycenione według</w:t>
      </w:r>
      <w:r w:rsidR="00901361" w:rsidRPr="00C75EDE">
        <w:rPr>
          <w:highlight w:val="yellow"/>
        </w:rPr>
        <w:t xml:space="preserve"> ceny nabycia pomniejszonej o odpisy z tytułu trwałej utraty wartości/ wartości </w:t>
      </w:r>
      <w:r w:rsidR="00901361" w:rsidRPr="004967A9">
        <w:rPr>
          <w:highlight w:val="yellow"/>
        </w:rPr>
        <w:t>godziwej</w:t>
      </w:r>
      <w:r w:rsidR="00821A17">
        <w:rPr>
          <w:highlight w:val="yellow"/>
        </w:rPr>
        <w:t xml:space="preserve">. </w:t>
      </w:r>
    </w:p>
    <w:p w14:paraId="2085768C" w14:textId="7C152862" w:rsidR="008347BF" w:rsidRDefault="008347BF" w:rsidP="00FB4346">
      <w:pPr>
        <w:jc w:val="left"/>
      </w:pPr>
      <w:r>
        <w:t>U</w:t>
      </w:r>
      <w:r w:rsidRPr="008347BF">
        <w:t>działy w jednostkach podporządkowanych</w:t>
      </w:r>
      <w:r>
        <w:t>,</w:t>
      </w:r>
      <w:r w:rsidRPr="008347BF">
        <w:t xml:space="preserve"> zaliczone do aktywów trwałych</w:t>
      </w:r>
      <w:r w:rsidR="00821A17">
        <w:t>,</w:t>
      </w:r>
      <w:r>
        <w:t xml:space="preserve"> wycenia się na dzień bilansowy</w:t>
      </w:r>
      <w:r w:rsidRPr="008347BF">
        <w:t xml:space="preserve"> według </w:t>
      </w:r>
      <w:r w:rsidRPr="00336142">
        <w:rPr>
          <w:highlight w:val="yellow"/>
        </w:rPr>
        <w:t xml:space="preserve">zasad określonych </w:t>
      </w:r>
      <w:r w:rsidR="00336142" w:rsidRPr="00336142">
        <w:rPr>
          <w:highlight w:val="yellow"/>
        </w:rPr>
        <w:t>dla udziałów w innych jednostkach oraz innych inwestycji</w:t>
      </w:r>
      <w:r w:rsidR="00336142">
        <w:rPr>
          <w:highlight w:val="yellow"/>
        </w:rPr>
        <w:t>/ metodą praw własn</w:t>
      </w:r>
      <w:r w:rsidR="00336142" w:rsidRPr="00336142">
        <w:rPr>
          <w:highlight w:val="yellow"/>
        </w:rPr>
        <w:t>ości</w:t>
      </w:r>
      <w:r w:rsidRPr="00336142">
        <w:rPr>
          <w:highlight w:val="yellow"/>
        </w:rPr>
        <w:t xml:space="preserve"> </w:t>
      </w:r>
      <w:r w:rsidR="00336142" w:rsidRPr="00336142">
        <w:rPr>
          <w:highlight w:val="yellow"/>
        </w:rPr>
        <w:t xml:space="preserve">i </w:t>
      </w:r>
      <w:r w:rsidR="009B1799">
        <w:rPr>
          <w:highlight w:val="yellow"/>
        </w:rPr>
        <w:t>jest</w:t>
      </w:r>
      <w:r w:rsidR="009B1799" w:rsidRPr="00336142">
        <w:rPr>
          <w:highlight w:val="yellow"/>
        </w:rPr>
        <w:t xml:space="preserve"> </w:t>
      </w:r>
      <w:r w:rsidR="00336142" w:rsidRPr="00336142">
        <w:rPr>
          <w:highlight w:val="yellow"/>
        </w:rPr>
        <w:t>ona</w:t>
      </w:r>
      <w:r w:rsidRPr="00336142">
        <w:rPr>
          <w:highlight w:val="yellow"/>
        </w:rPr>
        <w:t xml:space="preserve"> stosowana jednolicie wobec wszystkich jednostek podporządkowanych</w:t>
      </w:r>
      <w:r w:rsidR="004C4040">
        <w:t>.</w:t>
      </w:r>
    </w:p>
    <w:p w14:paraId="70CCF179" w14:textId="6F07939E" w:rsidR="00821A17" w:rsidRPr="0096004C" w:rsidRDefault="00821A17" w:rsidP="00821A17">
      <w:pPr>
        <w:jc w:val="left"/>
        <w:rPr>
          <w:highlight w:val="yellow"/>
        </w:rPr>
      </w:pPr>
      <w:r w:rsidRPr="00C063E8">
        <w:t xml:space="preserve">Udzielone pożyczki zaliczone do długoterminowych aktywów finansowych Jednostka wycenia </w:t>
      </w:r>
      <w:r w:rsidRPr="0096004C">
        <w:rPr>
          <w:highlight w:val="yellow"/>
        </w:rPr>
        <w:t>w kwocie wymaganej zapłaty</w:t>
      </w:r>
      <w:r w:rsidR="00D80550">
        <w:rPr>
          <w:highlight w:val="yellow"/>
        </w:rPr>
        <w:t>,</w:t>
      </w:r>
      <w:r w:rsidRPr="0096004C">
        <w:rPr>
          <w:highlight w:val="yellow"/>
        </w:rPr>
        <w:t xml:space="preserve"> z zachowaniem zasady ostrożności / według skorygowanej ceny nabycia.</w:t>
      </w:r>
      <w:r>
        <w:rPr>
          <w:highlight w:val="yellow"/>
        </w:rPr>
        <w:t xml:space="preserve"> </w:t>
      </w:r>
      <w:r>
        <w:t xml:space="preserve">Pozostałe </w:t>
      </w:r>
      <w:r w:rsidRPr="00C063E8">
        <w:t>składniki aktywów finansowych o charakterze długoterminowym, dla których został określony termin wymagalności</w:t>
      </w:r>
      <w:r>
        <w:t xml:space="preserve"> (w tym obligacje i weksle)</w:t>
      </w:r>
      <w:r w:rsidRPr="00C063E8">
        <w:t xml:space="preserve">, </w:t>
      </w:r>
      <w:r>
        <w:t xml:space="preserve">Spółka </w:t>
      </w:r>
      <w:r w:rsidRPr="00C063E8">
        <w:t>wycenia w skorygowanej cen</w:t>
      </w:r>
      <w:r w:rsidR="00563D9D">
        <w:t>ie</w:t>
      </w:r>
      <w:r w:rsidRPr="00C063E8">
        <w:t xml:space="preserve"> nabycia. </w:t>
      </w:r>
      <w:r w:rsidRPr="00B11F99">
        <w:rPr>
          <w:highlight w:val="yellow"/>
        </w:rPr>
        <w:t xml:space="preserve">Jeżeli </w:t>
      </w:r>
      <w:r w:rsidRPr="000D12E1">
        <w:rPr>
          <w:highlight w:val="yellow"/>
        </w:rPr>
        <w:t xml:space="preserve">kwota </w:t>
      </w:r>
      <w:r w:rsidRPr="00B11F99">
        <w:rPr>
          <w:highlight w:val="yellow"/>
        </w:rPr>
        <w:t>dyskont</w:t>
      </w:r>
      <w:r w:rsidRPr="000D12E1">
        <w:rPr>
          <w:highlight w:val="yellow"/>
        </w:rPr>
        <w:t xml:space="preserve">a </w:t>
      </w:r>
      <w:r w:rsidRPr="00B11F99">
        <w:rPr>
          <w:highlight w:val="yellow"/>
        </w:rPr>
        <w:t>nie jest istotn</w:t>
      </w:r>
      <w:r w:rsidRPr="000D12E1">
        <w:rPr>
          <w:highlight w:val="yellow"/>
        </w:rPr>
        <w:t>a</w:t>
      </w:r>
      <w:r w:rsidRPr="00B11F99">
        <w:rPr>
          <w:highlight w:val="yellow"/>
        </w:rPr>
        <w:t xml:space="preserve">, wycena następuje </w:t>
      </w:r>
      <w:r w:rsidRPr="0096004C">
        <w:rPr>
          <w:highlight w:val="yellow"/>
        </w:rPr>
        <w:t xml:space="preserve">w kwocie wymaganej zapłaty </w:t>
      </w:r>
      <w:r>
        <w:rPr>
          <w:highlight w:val="yellow"/>
        </w:rPr>
        <w:br/>
      </w:r>
      <w:r w:rsidRPr="0096004C">
        <w:rPr>
          <w:highlight w:val="yellow"/>
        </w:rPr>
        <w:t>z zachowaniem zasady ostrożności</w:t>
      </w:r>
      <w:r>
        <w:rPr>
          <w:highlight w:val="yellow"/>
        </w:rPr>
        <w:t xml:space="preserve">. </w:t>
      </w:r>
    </w:p>
    <w:p w14:paraId="11D22841" w14:textId="5F842AF0" w:rsidR="0096004C" w:rsidRPr="00C75EDE" w:rsidRDefault="0096004C" w:rsidP="00FB4346">
      <w:pPr>
        <w:jc w:val="left"/>
      </w:pPr>
      <w:bookmarkStart w:id="5" w:name="_Hlk90670128"/>
      <w:r w:rsidRPr="0096004C">
        <w:rPr>
          <w:highlight w:val="yellow"/>
        </w:rPr>
        <w:lastRenderedPageBreak/>
        <w:t>Z uwagi na sto</w:t>
      </w:r>
      <w:r w:rsidRPr="000B22D3">
        <w:rPr>
          <w:highlight w:val="yellow"/>
        </w:rPr>
        <w:t>sowan</w:t>
      </w:r>
      <w:r w:rsidR="009B1799" w:rsidRPr="000B22D3">
        <w:rPr>
          <w:highlight w:val="yellow"/>
        </w:rPr>
        <w:t>i</w:t>
      </w:r>
      <w:r w:rsidRPr="000B22D3">
        <w:rPr>
          <w:highlight w:val="yellow"/>
        </w:rPr>
        <w:t xml:space="preserve">e przez Jednostkę postanowień Rozporządzenia Ministra Finansów z dnia </w:t>
      </w:r>
      <w:r w:rsidR="000B22D3">
        <w:rPr>
          <w:highlight w:val="yellow"/>
        </w:rPr>
        <w:br/>
      </w:r>
      <w:r w:rsidR="000B22D3" w:rsidRPr="000B22D3">
        <w:rPr>
          <w:highlight w:val="yellow"/>
        </w:rPr>
        <w:t>17 listopada 2024 r.</w:t>
      </w:r>
      <w:r w:rsidRPr="000B22D3">
        <w:rPr>
          <w:highlight w:val="yellow"/>
        </w:rPr>
        <w:t xml:space="preserve"> </w:t>
      </w:r>
      <w:r w:rsidR="000B22D3" w:rsidRPr="000B22D3">
        <w:rPr>
          <w:highlight w:val="yellow"/>
        </w:rPr>
        <w:t xml:space="preserve">w sprawie uznawania i metod wyceny oraz ujawniania i prezentacji instrumentów finansowych </w:t>
      </w:r>
      <w:r w:rsidRPr="000B22D3">
        <w:rPr>
          <w:highlight w:val="yellow"/>
        </w:rPr>
        <w:t>(</w:t>
      </w:r>
      <w:r w:rsidR="000B22D3" w:rsidRPr="000B22D3">
        <w:rPr>
          <w:highlight w:val="yellow"/>
        </w:rPr>
        <w:t>Dz.U.2024.1750</w:t>
      </w:r>
      <w:r w:rsidRPr="000B22D3">
        <w:rPr>
          <w:highlight w:val="yellow"/>
        </w:rPr>
        <w:t xml:space="preserve">) długoterminowe </w:t>
      </w:r>
      <w:r w:rsidRPr="0096004C">
        <w:rPr>
          <w:highlight w:val="yellow"/>
        </w:rPr>
        <w:t>inwestycje w aktywa finansowe są wyceniane w</w:t>
      </w:r>
      <w:r w:rsidR="00563D9D">
        <w:rPr>
          <w:highlight w:val="yellow"/>
        </w:rPr>
        <w:t>edłu</w:t>
      </w:r>
      <w:r w:rsidRPr="0096004C">
        <w:rPr>
          <w:highlight w:val="yellow"/>
        </w:rPr>
        <w:t xml:space="preserve">g zasad opisanych w punkcie </w:t>
      </w:r>
      <w:r w:rsidRPr="00AA5372">
        <w:rPr>
          <w:i/>
          <w:iCs/>
          <w:highlight w:val="yellow"/>
        </w:rPr>
        <w:t>2.13 Instrumenty finansowe</w:t>
      </w:r>
      <w:r w:rsidRPr="0096004C">
        <w:rPr>
          <w:highlight w:val="yellow"/>
        </w:rPr>
        <w:t>.</w:t>
      </w:r>
    </w:p>
    <w:bookmarkEnd w:id="5"/>
    <w:p w14:paraId="465EF112" w14:textId="0FEBBDC1" w:rsidR="00CF61FD" w:rsidRDefault="00CF61FD" w:rsidP="00FB4346">
      <w:pPr>
        <w:jc w:val="left"/>
      </w:pPr>
      <w:r>
        <w:t>Odpisy</w:t>
      </w:r>
      <w:r w:rsidRPr="00CF61FD">
        <w:t xml:space="preserve"> </w:t>
      </w:r>
      <w:r w:rsidR="004C4040">
        <w:t>odzwierciedlające</w:t>
      </w:r>
      <w:r w:rsidRPr="00CF61FD">
        <w:t xml:space="preserve"> trwałą utratę wartości inwestycji zaliczonych do aktywów trwałych dokon</w:t>
      </w:r>
      <w:r w:rsidR="009B1799">
        <w:t>ywane są</w:t>
      </w:r>
      <w:r w:rsidRPr="00CF61FD">
        <w:t xml:space="preserve"> nie później niż na koniec okresu sprawozdawczego</w:t>
      </w:r>
      <w:r>
        <w:t xml:space="preserve">. </w:t>
      </w:r>
    </w:p>
    <w:p w14:paraId="435326DE" w14:textId="77777777" w:rsidR="00CF61FD" w:rsidRDefault="00901361" w:rsidP="00FB4346">
      <w:pPr>
        <w:jc w:val="left"/>
        <w:rPr>
          <w:i/>
          <w:color w:val="FF0000"/>
        </w:rPr>
      </w:pPr>
      <w:r w:rsidRPr="00C75EDE">
        <w:rPr>
          <w:highlight w:val="yellow"/>
        </w:rPr>
        <w:t xml:space="preserve">Odpisy z tytułu trwałej utraty wartości </w:t>
      </w:r>
      <w:r w:rsidR="004C4040">
        <w:rPr>
          <w:highlight w:val="yellow"/>
        </w:rPr>
        <w:t xml:space="preserve">długoterminowych aktywów finansowych </w:t>
      </w:r>
      <w:r w:rsidRPr="00C75EDE">
        <w:rPr>
          <w:highlight w:val="yellow"/>
        </w:rPr>
        <w:t>obciążają koszty finansowe. W przypadku ustania przyczyny, dla której dokonano odpisu, równowartość całości lub części uprzednio dokonanych odpisów z tytułu trwałej utraty wartości zwiększa wartość danego składnika aktywów i podlega zaliczeniu do przychodów finansowych.</w:t>
      </w:r>
      <w:r w:rsidR="00E60086" w:rsidRPr="00C75EDE">
        <w:rPr>
          <w:color w:val="FF0000"/>
        </w:rPr>
        <w:t xml:space="preserve"> </w:t>
      </w:r>
      <w:r w:rsidR="00E60086" w:rsidRPr="00C75EDE">
        <w:rPr>
          <w:i/>
          <w:color w:val="FF0000"/>
        </w:rPr>
        <w:t>(w przypadku stosowania metody ceny nabycia pomniejszonej o odpis z tytułu trwałej utraty wartości)</w:t>
      </w:r>
    </w:p>
    <w:p w14:paraId="6806D8A1" w14:textId="351A6EB4" w:rsidR="00E60086" w:rsidRDefault="00901361" w:rsidP="00FB4346">
      <w:pPr>
        <w:jc w:val="left"/>
        <w:rPr>
          <w:i/>
          <w:color w:val="FF0000"/>
        </w:rPr>
      </w:pPr>
      <w:r w:rsidRPr="00C75EDE">
        <w:rPr>
          <w:highlight w:val="yellow"/>
        </w:rPr>
        <w:t xml:space="preserve">Skutki przeszacowania </w:t>
      </w:r>
      <w:r w:rsidR="004C4040" w:rsidRPr="006B22A9">
        <w:rPr>
          <w:highlight w:val="yellow"/>
        </w:rPr>
        <w:t>długoterminowych</w:t>
      </w:r>
      <w:r w:rsidR="004C4040" w:rsidRPr="00C75EDE">
        <w:rPr>
          <w:highlight w:val="yellow"/>
        </w:rPr>
        <w:t xml:space="preserve"> </w:t>
      </w:r>
      <w:r w:rsidRPr="00C75EDE">
        <w:rPr>
          <w:highlight w:val="yellow"/>
        </w:rPr>
        <w:t xml:space="preserve">inwestycji </w:t>
      </w:r>
      <w:r w:rsidR="004C4040">
        <w:rPr>
          <w:highlight w:val="yellow"/>
        </w:rPr>
        <w:t xml:space="preserve">w </w:t>
      </w:r>
      <w:r w:rsidR="004C4040" w:rsidRPr="00D259EF">
        <w:rPr>
          <w:highlight w:val="yellow"/>
        </w:rPr>
        <w:t>aktyw</w:t>
      </w:r>
      <w:r w:rsidR="004C4040">
        <w:rPr>
          <w:highlight w:val="yellow"/>
        </w:rPr>
        <w:t>a</w:t>
      </w:r>
      <w:r w:rsidR="004C4040" w:rsidRPr="00D259EF">
        <w:rPr>
          <w:highlight w:val="yellow"/>
        </w:rPr>
        <w:t xml:space="preserve"> finansow</w:t>
      </w:r>
      <w:r w:rsidR="004C4040">
        <w:rPr>
          <w:highlight w:val="yellow"/>
        </w:rPr>
        <w:t>e</w:t>
      </w:r>
      <w:r w:rsidR="004C4040" w:rsidRPr="00D259EF">
        <w:rPr>
          <w:highlight w:val="yellow"/>
        </w:rPr>
        <w:t xml:space="preserve"> </w:t>
      </w:r>
      <w:r w:rsidRPr="00C75EDE">
        <w:rPr>
          <w:highlight w:val="yellow"/>
        </w:rPr>
        <w:t xml:space="preserve">powodujące wzrost ich wartości do poziomu wartości godziwej </w:t>
      </w:r>
      <w:r w:rsidR="004C4040">
        <w:rPr>
          <w:highlight w:val="yellow"/>
        </w:rPr>
        <w:t xml:space="preserve">są odnoszone na dobro </w:t>
      </w:r>
      <w:r w:rsidRPr="00C75EDE">
        <w:rPr>
          <w:highlight w:val="yellow"/>
        </w:rPr>
        <w:t>kapitał</w:t>
      </w:r>
      <w:r w:rsidR="004C4040">
        <w:rPr>
          <w:highlight w:val="yellow"/>
        </w:rPr>
        <w:t>u</w:t>
      </w:r>
      <w:r w:rsidRPr="00C75EDE">
        <w:rPr>
          <w:highlight w:val="yellow"/>
        </w:rPr>
        <w:t xml:space="preserve"> z aktualizacji wyceny. Obniżenie wartości inwestycji uprzednio przeszacowanej do wysokości kwoty, o którą podwyższono </w:t>
      </w:r>
      <w:r w:rsidR="009B1799">
        <w:rPr>
          <w:highlight w:val="yellow"/>
        </w:rPr>
        <w:br/>
      </w:r>
      <w:r w:rsidRPr="00C75EDE">
        <w:rPr>
          <w:highlight w:val="yellow"/>
        </w:rPr>
        <w:t xml:space="preserve">z tego tytułu kapitał z aktualizacji wyceny, jeżeli kwota różnicy z przeszacowania nie była do dnia wyceny rozliczona, zmniejsza ten kapitał. W pozostałych przypadkach obniżenia wartości </w:t>
      </w:r>
      <w:r w:rsidR="004C4040">
        <w:rPr>
          <w:highlight w:val="yellow"/>
        </w:rPr>
        <w:t xml:space="preserve">takich </w:t>
      </w:r>
      <w:r w:rsidRPr="00C75EDE">
        <w:rPr>
          <w:highlight w:val="yellow"/>
        </w:rPr>
        <w:t xml:space="preserve">inwestycji </w:t>
      </w:r>
      <w:r w:rsidR="004C4040">
        <w:rPr>
          <w:highlight w:val="yellow"/>
        </w:rPr>
        <w:t>ujmuje się w ciężar</w:t>
      </w:r>
      <w:r w:rsidRPr="00C75EDE">
        <w:rPr>
          <w:highlight w:val="yellow"/>
        </w:rPr>
        <w:t xml:space="preserve"> kosztów finansowych. Wzrost wartości danej inwestycji bezpośrednio wiążący się z uprzednim obniżeniem jej wartości</w:t>
      </w:r>
      <w:r w:rsidR="004C4040">
        <w:rPr>
          <w:highlight w:val="yellow"/>
        </w:rPr>
        <w:t xml:space="preserve"> w ciężar </w:t>
      </w:r>
      <w:r w:rsidRPr="00C75EDE">
        <w:rPr>
          <w:highlight w:val="yellow"/>
        </w:rPr>
        <w:t>kosztów finansowych, ujmuje się do wysokości tych kosztów jako przychody finansowe.</w:t>
      </w:r>
      <w:r w:rsidR="00E60086" w:rsidRPr="00C75EDE">
        <w:rPr>
          <w:color w:val="FF0000"/>
        </w:rPr>
        <w:t xml:space="preserve"> </w:t>
      </w:r>
      <w:r w:rsidR="00E60086" w:rsidRPr="00C75EDE">
        <w:rPr>
          <w:i/>
          <w:color w:val="FF0000"/>
        </w:rPr>
        <w:t>(w przypadku stosowania metody wartości godziwej</w:t>
      </w:r>
      <w:r w:rsidR="002B7310">
        <w:rPr>
          <w:i/>
          <w:color w:val="FF0000"/>
        </w:rPr>
        <w:t xml:space="preserve"> rozliczanej przez kapitał z aktualizacji zgodnie z art. 35 ust. 4 ustawy o rachunkowości</w:t>
      </w:r>
      <w:r w:rsidR="00821A17">
        <w:rPr>
          <w:i/>
          <w:color w:val="FF0000"/>
        </w:rPr>
        <w:t xml:space="preserve"> / odpowiednio skorygować, jeśli Jednostka stosuje inne zasady zgodne z rozporządzeniem w sprawie instrumentów finansowych</w:t>
      </w:r>
      <w:r w:rsidR="00E60086" w:rsidRPr="00C75EDE">
        <w:rPr>
          <w:i/>
          <w:color w:val="FF0000"/>
        </w:rPr>
        <w:t>)</w:t>
      </w:r>
    </w:p>
    <w:p w14:paraId="69B18B5A" w14:textId="77777777" w:rsidR="00901361" w:rsidRPr="00B43AC9" w:rsidRDefault="00901361" w:rsidP="00FB4346">
      <w:pPr>
        <w:pStyle w:val="Nagwek1"/>
        <w:numPr>
          <w:ilvl w:val="1"/>
          <w:numId w:val="5"/>
        </w:numPr>
        <w:ind w:left="993" w:hanging="709"/>
        <w:jc w:val="left"/>
      </w:pPr>
      <w:r w:rsidRPr="00B43AC9">
        <w:t>Inwestycje krótkoterminowe</w:t>
      </w:r>
    </w:p>
    <w:p w14:paraId="5B3BE6FE" w14:textId="77777777" w:rsidR="00F01A1D" w:rsidRDefault="00901361" w:rsidP="00FB4346">
      <w:pPr>
        <w:jc w:val="left"/>
      </w:pPr>
      <w:r w:rsidRPr="00C75EDE">
        <w:t>Nabyte udziały, akcje oraz inne aktywa krótkoterminowe ujmuje się w księgach rachunkowych na</w:t>
      </w:r>
      <w:r w:rsidR="004445AC" w:rsidRPr="00C75EDE">
        <w:t> </w:t>
      </w:r>
      <w:r w:rsidRPr="00C75EDE">
        <w:t xml:space="preserve">dzień ich nabycia lub powstania według ceny nabycia. </w:t>
      </w:r>
    </w:p>
    <w:p w14:paraId="00C2BAF8" w14:textId="18AA095A" w:rsidR="001C371A" w:rsidRPr="00821A17" w:rsidRDefault="00901361" w:rsidP="00FB4346">
      <w:pPr>
        <w:jc w:val="left"/>
        <w:rPr>
          <w:highlight w:val="yellow"/>
        </w:rPr>
      </w:pPr>
      <w:r w:rsidRPr="00C75EDE">
        <w:t>Na dzień bilansowy aktywa zaliczone do</w:t>
      </w:r>
      <w:r w:rsidR="004445AC" w:rsidRPr="00C75EDE">
        <w:t> </w:t>
      </w:r>
      <w:r w:rsidRPr="00C75EDE">
        <w:t>inwestycji krótkoterminowych są wycenione według</w:t>
      </w:r>
      <w:r w:rsidRPr="00C75EDE">
        <w:rPr>
          <w:highlight w:val="yellow"/>
        </w:rPr>
        <w:t xml:space="preserve"> ceny </w:t>
      </w:r>
      <w:r w:rsidRPr="00821A17">
        <w:rPr>
          <w:highlight w:val="yellow"/>
        </w:rPr>
        <w:t>rynkowej/ ceny nabycia lub ceny rynkowej, zależnie od tego, która z nich jest niższa</w:t>
      </w:r>
      <w:r w:rsidR="00821A17" w:rsidRPr="00C063E8">
        <w:rPr>
          <w:highlight w:val="yellow"/>
        </w:rPr>
        <w:t>.</w:t>
      </w:r>
      <w:r w:rsidR="00821A17" w:rsidRPr="00821A17">
        <w:rPr>
          <w:highlight w:val="yellow"/>
        </w:rPr>
        <w:t xml:space="preserve"> </w:t>
      </w:r>
      <w:r w:rsidR="0047730D">
        <w:rPr>
          <w:highlight w:val="yellow"/>
        </w:rPr>
        <w:t>K</w:t>
      </w:r>
      <w:r w:rsidR="001C371A" w:rsidRPr="00821A17">
        <w:rPr>
          <w:highlight w:val="yellow"/>
        </w:rPr>
        <w:t xml:space="preserve">rótkoterminowe inwestycje, dla których nie istnieje aktywny rynek, </w:t>
      </w:r>
      <w:r w:rsidR="009B1799" w:rsidRPr="00821A17">
        <w:rPr>
          <w:highlight w:val="yellow"/>
        </w:rPr>
        <w:t xml:space="preserve">wycenia się </w:t>
      </w:r>
      <w:r w:rsidR="001C371A" w:rsidRPr="00821A17">
        <w:rPr>
          <w:highlight w:val="yellow"/>
        </w:rPr>
        <w:t>w inny sposób określonej wartości godziwej.</w:t>
      </w:r>
    </w:p>
    <w:p w14:paraId="498B6E85" w14:textId="1E9ADDB6" w:rsidR="001C371A" w:rsidRDefault="0047730D" w:rsidP="00FB4346">
      <w:pPr>
        <w:jc w:val="left"/>
      </w:pPr>
      <w:r>
        <w:t>U</w:t>
      </w:r>
      <w:r w:rsidRPr="001C371A">
        <w:t xml:space="preserve">dzielone pożyczki zaliczone do </w:t>
      </w:r>
      <w:r>
        <w:t xml:space="preserve">krótkoterminowych </w:t>
      </w:r>
      <w:r w:rsidRPr="001C371A">
        <w:t>aktywów finansowych</w:t>
      </w:r>
      <w:r>
        <w:t xml:space="preserve"> Jednostka wycenia </w:t>
      </w:r>
      <w:r>
        <w:br/>
      </w:r>
      <w:r w:rsidRPr="0047730D">
        <w:rPr>
          <w:highlight w:val="yellow"/>
        </w:rPr>
        <w:t>w kwocie wymaganej zapłaty, z zachowaniem zasady ostrożności / według skorygowanej ceny nabycia</w:t>
      </w:r>
      <w:r w:rsidRPr="00A76578">
        <w:rPr>
          <w:highlight w:val="yellow"/>
        </w:rPr>
        <w:t xml:space="preserve">, </w:t>
      </w:r>
      <w:r w:rsidRPr="0047730D">
        <w:rPr>
          <w:highlight w:val="yellow"/>
        </w:rPr>
        <w:t xml:space="preserve">a jeżeli </w:t>
      </w:r>
      <w:r>
        <w:rPr>
          <w:highlight w:val="yellow"/>
        </w:rPr>
        <w:t>J</w:t>
      </w:r>
      <w:r w:rsidRPr="0047730D">
        <w:rPr>
          <w:highlight w:val="yellow"/>
        </w:rPr>
        <w:t>ednostka przeznacza je do sprzedaży w okresie do 3 miesięcy, to według wartości rynkowej lub inaczej określonej wartości godziwej.</w:t>
      </w:r>
      <w:r>
        <w:t xml:space="preserve"> </w:t>
      </w:r>
      <w:r w:rsidRPr="0047730D">
        <w:t xml:space="preserve">Pozostałe składniki aktywów finansowych </w:t>
      </w:r>
      <w:r w:rsidRPr="0047730D">
        <w:br/>
        <w:t>o charakterze krótkoterminowym, dla których został określony termin wymagalności</w:t>
      </w:r>
      <w:r w:rsidRPr="00C063E8">
        <w:t xml:space="preserve"> </w:t>
      </w:r>
      <w:r w:rsidR="001C371A" w:rsidRPr="00C063E8">
        <w:t>(obligacje, weksle)</w:t>
      </w:r>
      <w:r w:rsidRPr="00C063E8">
        <w:t xml:space="preserve"> Spółka </w:t>
      </w:r>
      <w:r w:rsidR="001C371A" w:rsidRPr="00C063E8">
        <w:t>wycenia</w:t>
      </w:r>
      <w:r w:rsidRPr="00C063E8">
        <w:t xml:space="preserve"> </w:t>
      </w:r>
      <w:r w:rsidR="001C371A" w:rsidRPr="00C063E8">
        <w:t>według skorygowanej ceny nabycia.</w:t>
      </w:r>
      <w:r w:rsidR="001C371A" w:rsidRPr="00C063E8">
        <w:rPr>
          <w:highlight w:val="yellow"/>
        </w:rPr>
        <w:t xml:space="preserve"> </w:t>
      </w:r>
      <w:r w:rsidR="00821A17" w:rsidRPr="00821A17">
        <w:rPr>
          <w:highlight w:val="yellow"/>
        </w:rPr>
        <w:t>Jeżeli kwota dyskonta nie jest istotna, wycena następuje w kwocie wymaganej zapłaty z zachowaniem zasady ostrożności.</w:t>
      </w:r>
    </w:p>
    <w:p w14:paraId="15C23181" w14:textId="214D7317" w:rsidR="0096004C" w:rsidRPr="0096004C" w:rsidRDefault="0096004C" w:rsidP="00FB4346">
      <w:pPr>
        <w:jc w:val="left"/>
      </w:pPr>
      <w:bookmarkStart w:id="6" w:name="_Hlk90670251"/>
      <w:r w:rsidRPr="0096004C">
        <w:rPr>
          <w:highlight w:val="yellow"/>
        </w:rPr>
        <w:t>Z uwagi na stosowan</w:t>
      </w:r>
      <w:r w:rsidR="009B1799">
        <w:rPr>
          <w:highlight w:val="yellow"/>
        </w:rPr>
        <w:t>i</w:t>
      </w:r>
      <w:r w:rsidRPr="0096004C">
        <w:rPr>
          <w:highlight w:val="yellow"/>
        </w:rPr>
        <w:t xml:space="preserve">e przez Jednostkę postanowień </w:t>
      </w:r>
      <w:r w:rsidR="000B22D3" w:rsidRPr="000B22D3">
        <w:rPr>
          <w:highlight w:val="yellow"/>
        </w:rPr>
        <w:t xml:space="preserve">Rozporządzenia Ministra Finansów z dnia </w:t>
      </w:r>
      <w:r w:rsidR="000B22D3" w:rsidRPr="000B22D3">
        <w:rPr>
          <w:highlight w:val="yellow"/>
        </w:rPr>
        <w:br/>
        <w:t>17 listopada 2024 r. w sprawie uznawania i metod wyceny oraz ujawniania i prezentacji instrumentów finansowych</w:t>
      </w:r>
      <w:r w:rsidR="000B22D3">
        <w:rPr>
          <w:highlight w:val="yellow"/>
        </w:rPr>
        <w:t xml:space="preserve"> </w:t>
      </w:r>
      <w:r w:rsidR="000B22D3" w:rsidRPr="000B22D3">
        <w:rPr>
          <w:highlight w:val="yellow"/>
        </w:rPr>
        <w:t>(Dz.U.2024.1750)</w:t>
      </w:r>
      <w:r w:rsidRPr="0096004C">
        <w:rPr>
          <w:highlight w:val="yellow"/>
        </w:rPr>
        <w:t xml:space="preserve"> krótkoterminowe inwestycje w aktywa finansowe są wyceniane w</w:t>
      </w:r>
      <w:r w:rsidR="00563D9D">
        <w:rPr>
          <w:highlight w:val="yellow"/>
        </w:rPr>
        <w:t>edłu</w:t>
      </w:r>
      <w:r w:rsidRPr="0096004C">
        <w:rPr>
          <w:highlight w:val="yellow"/>
        </w:rPr>
        <w:t xml:space="preserve">g zasad opisanych w punkcie </w:t>
      </w:r>
      <w:r w:rsidRPr="00AA5372">
        <w:rPr>
          <w:i/>
          <w:iCs/>
          <w:highlight w:val="yellow"/>
        </w:rPr>
        <w:t>2.13 Instrumenty finansowe</w:t>
      </w:r>
      <w:r w:rsidRPr="0096004C">
        <w:rPr>
          <w:highlight w:val="yellow"/>
        </w:rPr>
        <w:t>.</w:t>
      </w:r>
    </w:p>
    <w:bookmarkEnd w:id="6"/>
    <w:p w14:paraId="55F1E2D3" w14:textId="77777777" w:rsidR="00E60086" w:rsidRPr="00C75EDE" w:rsidRDefault="00901361" w:rsidP="00FB4346">
      <w:pPr>
        <w:jc w:val="left"/>
        <w:rPr>
          <w:i/>
          <w:color w:val="FF0000"/>
        </w:rPr>
      </w:pPr>
      <w:r w:rsidRPr="00C75EDE">
        <w:rPr>
          <w:highlight w:val="yellow"/>
        </w:rPr>
        <w:t>Skutki zmian wartości inwestycji krótkoterminowych wpływają w pełnej wysokości odpowiednio na przychody lub koszty finansowe.</w:t>
      </w:r>
      <w:r w:rsidR="00E60086" w:rsidRPr="00C75EDE">
        <w:rPr>
          <w:color w:val="FF0000"/>
        </w:rPr>
        <w:t xml:space="preserve"> </w:t>
      </w:r>
      <w:r w:rsidR="00E60086" w:rsidRPr="00C75EDE">
        <w:rPr>
          <w:i/>
          <w:color w:val="FF0000"/>
        </w:rPr>
        <w:t>(w przypadku stosowania metody ceny rynkowej)</w:t>
      </w:r>
    </w:p>
    <w:p w14:paraId="3B97A500" w14:textId="44940539" w:rsidR="00E60086" w:rsidRPr="00C75EDE" w:rsidRDefault="00901361" w:rsidP="00FB4346">
      <w:pPr>
        <w:jc w:val="left"/>
        <w:rPr>
          <w:i/>
          <w:color w:val="FF0000"/>
        </w:rPr>
      </w:pPr>
      <w:r w:rsidRPr="00C75EDE">
        <w:rPr>
          <w:highlight w:val="yellow"/>
        </w:rPr>
        <w:lastRenderedPageBreak/>
        <w:t xml:space="preserve">Różnica między wyższą ceną nabycia a niższą ceną </w:t>
      </w:r>
      <w:r w:rsidR="001C371A" w:rsidRPr="001C371A">
        <w:rPr>
          <w:highlight w:val="yellow"/>
        </w:rPr>
        <w:t xml:space="preserve">(wartością) </w:t>
      </w:r>
      <w:r w:rsidRPr="00C75EDE">
        <w:rPr>
          <w:highlight w:val="yellow"/>
        </w:rPr>
        <w:t xml:space="preserve">rynkową obciąża koszty finansowe. Skutki wzrostu cen </w:t>
      </w:r>
      <w:r w:rsidR="001C371A">
        <w:rPr>
          <w:highlight w:val="yellow"/>
        </w:rPr>
        <w:t xml:space="preserve">(wartości) </w:t>
      </w:r>
      <w:r w:rsidRPr="00C75EDE">
        <w:rPr>
          <w:highlight w:val="yellow"/>
        </w:rPr>
        <w:t xml:space="preserve">odnosi się na </w:t>
      </w:r>
      <w:r w:rsidR="004C4040">
        <w:rPr>
          <w:highlight w:val="yellow"/>
        </w:rPr>
        <w:t xml:space="preserve">dobro </w:t>
      </w:r>
      <w:r w:rsidRPr="00C75EDE">
        <w:rPr>
          <w:highlight w:val="yellow"/>
        </w:rPr>
        <w:t>przychod</w:t>
      </w:r>
      <w:r w:rsidR="004C4040">
        <w:rPr>
          <w:highlight w:val="yellow"/>
        </w:rPr>
        <w:t>ów</w:t>
      </w:r>
      <w:r w:rsidRPr="00C75EDE">
        <w:rPr>
          <w:highlight w:val="yellow"/>
        </w:rPr>
        <w:t xml:space="preserve"> finansow</w:t>
      </w:r>
      <w:r w:rsidR="004C4040">
        <w:rPr>
          <w:highlight w:val="yellow"/>
        </w:rPr>
        <w:t>ych</w:t>
      </w:r>
      <w:r w:rsidRPr="00C75EDE">
        <w:rPr>
          <w:highlight w:val="yellow"/>
        </w:rPr>
        <w:t xml:space="preserve"> jedynie w przypadku, gdy uprzednio </w:t>
      </w:r>
      <w:r w:rsidR="004C4040">
        <w:rPr>
          <w:highlight w:val="yellow"/>
        </w:rPr>
        <w:t xml:space="preserve">utrata wartości inwestycji obciążyła </w:t>
      </w:r>
      <w:r w:rsidRPr="00C75EDE">
        <w:rPr>
          <w:highlight w:val="yellow"/>
        </w:rPr>
        <w:t xml:space="preserve">koszty </w:t>
      </w:r>
      <w:r w:rsidR="004C4040">
        <w:rPr>
          <w:highlight w:val="yellow"/>
        </w:rPr>
        <w:t xml:space="preserve">finansowe, </w:t>
      </w:r>
      <w:r w:rsidR="001C371A">
        <w:rPr>
          <w:highlight w:val="yellow"/>
        </w:rPr>
        <w:t xml:space="preserve">tj. </w:t>
      </w:r>
      <w:r w:rsidR="004C4040">
        <w:rPr>
          <w:highlight w:val="yellow"/>
        </w:rPr>
        <w:t xml:space="preserve">w kwocie nieprzekraczającej </w:t>
      </w:r>
      <w:r w:rsidRPr="00C75EDE">
        <w:rPr>
          <w:highlight w:val="yellow"/>
        </w:rPr>
        <w:t xml:space="preserve">poprzednio </w:t>
      </w:r>
      <w:r w:rsidR="004C4040">
        <w:rPr>
          <w:highlight w:val="yellow"/>
        </w:rPr>
        <w:t xml:space="preserve">dokonanych odpisów w ciężar </w:t>
      </w:r>
      <w:r w:rsidRPr="00C75EDE">
        <w:rPr>
          <w:highlight w:val="yellow"/>
        </w:rPr>
        <w:t>koszt</w:t>
      </w:r>
      <w:r w:rsidR="004C4040">
        <w:rPr>
          <w:highlight w:val="yellow"/>
        </w:rPr>
        <w:t>ów</w:t>
      </w:r>
      <w:r w:rsidR="001C371A">
        <w:rPr>
          <w:highlight w:val="yellow"/>
        </w:rPr>
        <w:t xml:space="preserve"> (do historycznej ceny nabycia)</w:t>
      </w:r>
      <w:r w:rsidRPr="00C75EDE">
        <w:rPr>
          <w:highlight w:val="yellow"/>
        </w:rPr>
        <w:t>.</w:t>
      </w:r>
      <w:r w:rsidR="00E60086" w:rsidRPr="00C75EDE">
        <w:rPr>
          <w:color w:val="FF0000"/>
        </w:rPr>
        <w:t xml:space="preserve"> </w:t>
      </w:r>
      <w:r w:rsidR="00E60086" w:rsidRPr="00C75EDE">
        <w:rPr>
          <w:i/>
          <w:color w:val="FF0000"/>
        </w:rPr>
        <w:t>(w przypadku stosowania metody ceny nabycia lub ceny rynkowej, zależnie od tego, która z nich jest niższa)</w:t>
      </w:r>
    </w:p>
    <w:p w14:paraId="43A1BD80" w14:textId="77777777" w:rsidR="00901361" w:rsidRPr="00B43AC9" w:rsidRDefault="00901361" w:rsidP="00FB4346">
      <w:pPr>
        <w:pStyle w:val="Nagwek1"/>
        <w:numPr>
          <w:ilvl w:val="1"/>
          <w:numId w:val="5"/>
        </w:numPr>
        <w:ind w:left="993" w:hanging="709"/>
        <w:jc w:val="left"/>
      </w:pPr>
      <w:r w:rsidRPr="00B43AC9">
        <w:t>Zapasy</w:t>
      </w:r>
    </w:p>
    <w:p w14:paraId="2EEFC2CC" w14:textId="77777777" w:rsidR="00E220D1" w:rsidRDefault="00901361" w:rsidP="00FB4346">
      <w:pPr>
        <w:jc w:val="left"/>
      </w:pPr>
      <w:bookmarkStart w:id="7" w:name="_Hlk107957380"/>
      <w:r w:rsidRPr="00C75EDE">
        <w:t xml:space="preserve">Nabyte lub wytworzone w ciągu roku obrotowego rzeczowe składniki zapasów ujmowane są według ceny </w:t>
      </w:r>
      <w:r w:rsidRPr="00C75EDE">
        <w:rPr>
          <w:highlight w:val="yellow"/>
        </w:rPr>
        <w:t>nab</w:t>
      </w:r>
      <w:r w:rsidR="004445AC" w:rsidRPr="00C75EDE">
        <w:rPr>
          <w:highlight w:val="yellow"/>
        </w:rPr>
        <w:t>ycia/</w:t>
      </w:r>
      <w:r w:rsidRPr="00C75EDE">
        <w:rPr>
          <w:highlight w:val="yellow"/>
        </w:rPr>
        <w:t>zakupu</w:t>
      </w:r>
      <w:r w:rsidRPr="00C75EDE">
        <w:t xml:space="preserve"> lub </w:t>
      </w:r>
      <w:r w:rsidRPr="00346B8F">
        <w:rPr>
          <w:highlight w:val="yellow"/>
        </w:rPr>
        <w:t>kosztów wytworzenia</w:t>
      </w:r>
      <w:r w:rsidR="00E220D1" w:rsidRPr="00346B8F">
        <w:rPr>
          <w:highlight w:val="yellow"/>
        </w:rPr>
        <w:t xml:space="preserve"> </w:t>
      </w:r>
      <w:r w:rsidR="00E220D1" w:rsidRPr="00ED084A">
        <w:rPr>
          <w:highlight w:val="yellow"/>
        </w:rPr>
        <w:t>/wg ceny ewidencyjnej</w:t>
      </w:r>
      <w:r w:rsidRPr="00C75EDE">
        <w:t xml:space="preserve">. </w:t>
      </w:r>
    </w:p>
    <w:p w14:paraId="3F10EA25" w14:textId="77777777" w:rsidR="00F93D44" w:rsidRDefault="00901361" w:rsidP="00FB4346">
      <w:pPr>
        <w:jc w:val="left"/>
      </w:pPr>
      <w:r w:rsidRPr="00C75EDE">
        <w:t xml:space="preserve">Wartość rozchodu zapasów jest ustalana przy zastosowaniu metody </w:t>
      </w:r>
      <w:r w:rsidRPr="00C75EDE">
        <w:rPr>
          <w:highlight w:val="yellow"/>
        </w:rPr>
        <w:t>cen przeciętnych/pierwsze weszło-pierwsze wyszło/ostatnie weszło-pierwsze wyszło/szczegółowej identyfikacji cen.</w:t>
      </w:r>
      <w:r w:rsidRPr="00C75EDE">
        <w:t xml:space="preserve"> </w:t>
      </w:r>
    </w:p>
    <w:p w14:paraId="06F365B6" w14:textId="77777777" w:rsidR="004D1F4E" w:rsidRDefault="00901361" w:rsidP="00FB4346">
      <w:pPr>
        <w:jc w:val="left"/>
      </w:pPr>
      <w:r w:rsidRPr="00C75EDE">
        <w:t xml:space="preserve">Zapasy </w:t>
      </w:r>
      <w:r w:rsidR="001C371A">
        <w:t xml:space="preserve">towarów i materiałów </w:t>
      </w:r>
      <w:r w:rsidRPr="00C75EDE">
        <w:t>na dzień bilanso</w:t>
      </w:r>
      <w:r w:rsidR="00E60086" w:rsidRPr="00C75EDE">
        <w:t xml:space="preserve">wy wycenione są w cenie </w:t>
      </w:r>
      <w:r w:rsidR="00E60086" w:rsidRPr="00C75EDE">
        <w:rPr>
          <w:highlight w:val="yellow"/>
        </w:rPr>
        <w:t>nabycia/</w:t>
      </w:r>
      <w:r w:rsidRPr="00C75EDE">
        <w:rPr>
          <w:highlight w:val="yellow"/>
        </w:rPr>
        <w:t>zakupu</w:t>
      </w:r>
      <w:r w:rsidR="00F93D44" w:rsidRPr="00F93D44">
        <w:rPr>
          <w:highlight w:val="yellow"/>
        </w:rPr>
        <w:t>, gdyż nie zniekształca to stanu aktywów oraz wyniku finansowego jednostki</w:t>
      </w:r>
      <w:r w:rsidR="004D1F4E">
        <w:t>,</w:t>
      </w:r>
      <w:r w:rsidRPr="00C75EDE">
        <w:t xml:space="preserve"> nie wyższ</w:t>
      </w:r>
      <w:r w:rsidR="001C371A">
        <w:t xml:space="preserve">ej </w:t>
      </w:r>
      <w:r w:rsidRPr="00C75EDE">
        <w:t xml:space="preserve">od ceny sprzedaży netto danego składnika. </w:t>
      </w:r>
    </w:p>
    <w:p w14:paraId="4291A98B" w14:textId="77777777" w:rsidR="00C94C57" w:rsidRDefault="001C371A" w:rsidP="00FB4346">
      <w:pPr>
        <w:jc w:val="left"/>
      </w:pPr>
      <w:r>
        <w:t xml:space="preserve">Zapasy wyrobów gotowych oraz półproduktów </w:t>
      </w:r>
      <w:r w:rsidRPr="00C75EDE">
        <w:t xml:space="preserve">wycenione są </w:t>
      </w:r>
      <w:r>
        <w:t xml:space="preserve">po koszcie </w:t>
      </w:r>
      <w:r w:rsidRPr="00C75EDE">
        <w:t>wytworzenia</w:t>
      </w:r>
      <w:r>
        <w:t>,</w:t>
      </w:r>
      <w:r w:rsidRPr="00C75EDE">
        <w:t xml:space="preserve"> nie wyższy</w:t>
      </w:r>
      <w:r>
        <w:t xml:space="preserve">m </w:t>
      </w:r>
      <w:r w:rsidRPr="00C75EDE">
        <w:t>od ceny sprzedaży netto danego składnika</w:t>
      </w:r>
      <w:r w:rsidR="00C94C57">
        <w:t xml:space="preserve">. </w:t>
      </w:r>
    </w:p>
    <w:p w14:paraId="69221CB3" w14:textId="75667C01" w:rsidR="00C94C57" w:rsidRDefault="00ED1B69" w:rsidP="00FB4346">
      <w:pPr>
        <w:jc w:val="left"/>
      </w:pPr>
      <w:r>
        <w:rPr>
          <w:highlight w:val="yellow"/>
        </w:rPr>
        <w:t>Stosując uproszczenie przewidziane w art. 28 ust. 4a u</w:t>
      </w:r>
      <w:r w:rsidRPr="00C94C57">
        <w:rPr>
          <w:highlight w:val="yellow"/>
        </w:rPr>
        <w:t xml:space="preserve">stawy </w:t>
      </w:r>
      <w:r>
        <w:rPr>
          <w:highlight w:val="yellow"/>
        </w:rPr>
        <w:t>o rachunkowości, p</w:t>
      </w:r>
      <w:r w:rsidR="00C94C57" w:rsidRPr="00C94C57">
        <w:rPr>
          <w:highlight w:val="yellow"/>
        </w:rPr>
        <w:t xml:space="preserve">rzy obliczaniu kosztu wytworzenia produktu do kosztów bezpośrednich Jednostka dolicza koszty pośrednie związane </w:t>
      </w:r>
      <w:r>
        <w:rPr>
          <w:highlight w:val="yellow"/>
        </w:rPr>
        <w:br/>
      </w:r>
      <w:r w:rsidR="00C94C57" w:rsidRPr="00C94C57">
        <w:rPr>
          <w:highlight w:val="yellow"/>
        </w:rPr>
        <w:t>z wytworzeniem tego produktu, niezależnie od poziomu wykorzystania zdolności produkcyjnych.</w:t>
      </w:r>
    </w:p>
    <w:p w14:paraId="0B74518F" w14:textId="0501FECA" w:rsidR="00847C98" w:rsidRDefault="009D10B3" w:rsidP="00FB4346">
      <w:pPr>
        <w:jc w:val="left"/>
      </w:pPr>
      <w:r>
        <w:rPr>
          <w:highlight w:val="yellow"/>
        </w:rPr>
        <w:t>S</w:t>
      </w:r>
      <w:r w:rsidR="00847C98">
        <w:rPr>
          <w:highlight w:val="yellow"/>
        </w:rPr>
        <w:t xml:space="preserve">zacując </w:t>
      </w:r>
      <w:r w:rsidR="00847C98" w:rsidRPr="00847C98">
        <w:rPr>
          <w:highlight w:val="yellow"/>
        </w:rPr>
        <w:t>poziom normalnego wykorzystania zdolności produkcyjnych w celu ustalenia uzasadnionej, odpowiedniej do okresu wytwarzania produktu, części kosztów pośrednich</w:t>
      </w:r>
      <w:r>
        <w:rPr>
          <w:highlight w:val="yellow"/>
        </w:rPr>
        <w:t xml:space="preserve">, Jednostka </w:t>
      </w:r>
      <w:r w:rsidR="00847C98">
        <w:rPr>
          <w:highlight w:val="yellow"/>
        </w:rPr>
        <w:t>bierze pod uwagę</w:t>
      </w:r>
      <w:r w:rsidR="00847C98" w:rsidRPr="00847C98">
        <w:rPr>
          <w:highlight w:val="yellow"/>
        </w:rPr>
        <w:t xml:space="preserve"> </w:t>
      </w:r>
      <w:r w:rsidRPr="00847C98">
        <w:rPr>
          <w:highlight w:val="yellow"/>
        </w:rPr>
        <w:t>przeciętn</w:t>
      </w:r>
      <w:r>
        <w:rPr>
          <w:highlight w:val="yellow"/>
        </w:rPr>
        <w:t>ą</w:t>
      </w:r>
      <w:r w:rsidR="00847C98" w:rsidRPr="00847C98">
        <w:rPr>
          <w:highlight w:val="yellow"/>
        </w:rPr>
        <w:t xml:space="preserve">, </w:t>
      </w:r>
      <w:r w:rsidRPr="00847C98">
        <w:rPr>
          <w:highlight w:val="yellow"/>
        </w:rPr>
        <w:t>zgodn</w:t>
      </w:r>
      <w:r>
        <w:rPr>
          <w:highlight w:val="yellow"/>
        </w:rPr>
        <w:t>ą</w:t>
      </w:r>
      <w:r w:rsidRPr="00847C98">
        <w:rPr>
          <w:highlight w:val="yellow"/>
        </w:rPr>
        <w:t xml:space="preserve"> </w:t>
      </w:r>
      <w:r w:rsidR="00847C98" w:rsidRPr="00847C98">
        <w:rPr>
          <w:highlight w:val="yellow"/>
        </w:rPr>
        <w:t xml:space="preserve">z oczekiwaniami w typowych warunkach, wielkość produkcji za daną liczbę okresów lub sezonów, przy uwzględnieniu planowych remontów </w:t>
      </w:r>
      <w:r w:rsidR="00847C98">
        <w:rPr>
          <w:highlight w:val="yellow"/>
        </w:rPr>
        <w:t>na podstawie</w:t>
      </w:r>
      <w:r w:rsidR="00F81B29">
        <w:rPr>
          <w:highlight w:val="yellow"/>
        </w:rPr>
        <w:t xml:space="preserve"> …</w:t>
      </w:r>
      <w:r w:rsidR="00847C98">
        <w:rPr>
          <w:highlight w:val="yellow"/>
        </w:rPr>
        <w:t xml:space="preserve"> </w:t>
      </w:r>
      <w:r w:rsidR="00571D7D">
        <w:rPr>
          <w:highlight w:val="yellow"/>
        </w:rPr>
        <w:t>[</w:t>
      </w:r>
      <w:r w:rsidR="00F81B29" w:rsidRPr="00F81B29">
        <w:rPr>
          <w:i/>
          <w:iCs/>
          <w:color w:val="EE0000"/>
          <w:highlight w:val="yellow"/>
        </w:rPr>
        <w:t>odpowiednio uzupełnić, np. na podstawie</w:t>
      </w:r>
      <w:r w:rsidR="00F81B29">
        <w:rPr>
          <w:highlight w:val="yellow"/>
        </w:rPr>
        <w:t xml:space="preserve"> </w:t>
      </w:r>
      <w:r w:rsidR="00571D7D" w:rsidRPr="00571D7D">
        <w:rPr>
          <w:i/>
          <w:iCs/>
          <w:color w:val="EE0000"/>
          <w:highlight w:val="yellow"/>
        </w:rPr>
        <w:t xml:space="preserve">danych historycznych oraz zatwierdzonych planów (budżetów) produkcji </w:t>
      </w:r>
      <w:r w:rsidR="00F81B29">
        <w:rPr>
          <w:i/>
          <w:iCs/>
          <w:color w:val="EE0000"/>
          <w:highlight w:val="yellow"/>
        </w:rPr>
        <w:br/>
      </w:r>
      <w:r w:rsidR="00571D7D" w:rsidRPr="00571D7D">
        <w:rPr>
          <w:i/>
          <w:iCs/>
          <w:color w:val="EE0000"/>
          <w:highlight w:val="yellow"/>
        </w:rPr>
        <w:t>i harmonogramów planowych remontów/przeglądów / zatwierdzonych planów produkcji oraz harmonogramów remontów</w:t>
      </w:r>
      <w:r w:rsidR="00F81B29">
        <w:rPr>
          <w:i/>
          <w:iCs/>
          <w:color w:val="EE0000"/>
          <w:highlight w:val="yellow"/>
        </w:rPr>
        <w:t xml:space="preserve">; </w:t>
      </w:r>
      <w:r w:rsidR="00571D7D">
        <w:rPr>
          <w:i/>
          <w:iCs/>
          <w:color w:val="EE0000"/>
          <w:highlight w:val="yellow"/>
        </w:rPr>
        <w:t>dodatkowo rekomendujemy wskazanie</w:t>
      </w:r>
      <w:r w:rsidR="00F81B29">
        <w:rPr>
          <w:i/>
          <w:iCs/>
          <w:color w:val="EE0000"/>
          <w:highlight w:val="yellow"/>
        </w:rPr>
        <w:t>,</w:t>
      </w:r>
      <w:r w:rsidR="00571D7D">
        <w:rPr>
          <w:i/>
          <w:iCs/>
          <w:color w:val="EE0000"/>
          <w:highlight w:val="yellow"/>
        </w:rPr>
        <w:t xml:space="preserve"> co jest bazą szacunku</w:t>
      </w:r>
      <w:r w:rsidR="00F81B29">
        <w:rPr>
          <w:i/>
          <w:iCs/>
          <w:color w:val="EE0000"/>
          <w:highlight w:val="yellow"/>
        </w:rPr>
        <w:t>,</w:t>
      </w:r>
      <w:r w:rsidR="00571D7D">
        <w:rPr>
          <w:i/>
          <w:iCs/>
          <w:color w:val="EE0000"/>
          <w:highlight w:val="yellow"/>
        </w:rPr>
        <w:t xml:space="preserve"> </w:t>
      </w:r>
      <w:r w:rsidR="00F81B29">
        <w:rPr>
          <w:i/>
          <w:iCs/>
          <w:color w:val="EE0000"/>
          <w:highlight w:val="yellow"/>
        </w:rPr>
        <w:br/>
      </w:r>
      <w:r w:rsidR="00571D7D">
        <w:rPr>
          <w:i/>
          <w:iCs/>
          <w:color w:val="EE0000"/>
          <w:highlight w:val="yellow"/>
        </w:rPr>
        <w:t>np. maszynogodziny, roboczogodziny, ilość wytworzonych produktów (</w:t>
      </w:r>
      <w:proofErr w:type="spellStart"/>
      <w:r w:rsidR="00571D7D">
        <w:rPr>
          <w:i/>
          <w:iCs/>
          <w:color w:val="EE0000"/>
          <w:highlight w:val="yellow"/>
        </w:rPr>
        <w:t>mb</w:t>
      </w:r>
      <w:proofErr w:type="spellEnd"/>
      <w:r w:rsidR="00571D7D">
        <w:rPr>
          <w:i/>
          <w:iCs/>
          <w:color w:val="EE0000"/>
          <w:highlight w:val="yellow"/>
        </w:rPr>
        <w:t>, szt. itp.)</w:t>
      </w:r>
      <w:r w:rsidR="00571D7D">
        <w:rPr>
          <w:highlight w:val="yellow"/>
        </w:rPr>
        <w:t>]</w:t>
      </w:r>
      <w:r w:rsidR="00571D7D" w:rsidRPr="00571D7D">
        <w:rPr>
          <w:highlight w:val="yellow"/>
        </w:rPr>
        <w:t>.</w:t>
      </w:r>
    </w:p>
    <w:p w14:paraId="5CB3EBBF" w14:textId="3898400F" w:rsidR="00977FAD" w:rsidRPr="00C063E8" w:rsidRDefault="00977FAD" w:rsidP="00FB4346">
      <w:pPr>
        <w:jc w:val="left"/>
        <w:rPr>
          <w:highlight w:val="yellow"/>
        </w:rPr>
      </w:pPr>
      <w:r w:rsidRPr="00563D9D">
        <w:rPr>
          <w:highlight w:val="yellow"/>
        </w:rPr>
        <w:t>W związku z tym, ż</w:t>
      </w:r>
      <w:r w:rsidR="009B1799" w:rsidRPr="00563D9D">
        <w:rPr>
          <w:highlight w:val="yellow"/>
        </w:rPr>
        <w:t>e</w:t>
      </w:r>
      <w:r w:rsidRPr="00563D9D">
        <w:rPr>
          <w:highlight w:val="yellow"/>
        </w:rPr>
        <w:t xml:space="preserve"> nie zniekształca to stanu aktywów oraz wyniku finansowego Jednostki</w:t>
      </w:r>
      <w:r w:rsidR="001C371A" w:rsidRPr="00563D9D">
        <w:rPr>
          <w:highlight w:val="yellow"/>
        </w:rPr>
        <w:t xml:space="preserve"> </w:t>
      </w:r>
      <w:r w:rsidR="00F81B29">
        <w:rPr>
          <w:highlight w:val="yellow"/>
        </w:rPr>
        <w:br/>
      </w:r>
      <w:r w:rsidR="00563D9D" w:rsidRPr="00C063E8">
        <w:rPr>
          <w:highlight w:val="yellow"/>
        </w:rPr>
        <w:t>oraz ze względu na</w:t>
      </w:r>
      <w:r w:rsidR="00563D9D" w:rsidRPr="00563D9D">
        <w:rPr>
          <w:highlight w:val="yellow"/>
        </w:rPr>
        <w:t xml:space="preserve"> krótszy niż 3-miesięczny cykl technologiczny produkcji</w:t>
      </w:r>
      <w:r w:rsidRPr="00977FAD">
        <w:rPr>
          <w:highlight w:val="yellow"/>
        </w:rPr>
        <w:t xml:space="preserve">, </w:t>
      </w:r>
      <w:r w:rsidR="00563D9D" w:rsidRPr="00977FAD">
        <w:rPr>
          <w:highlight w:val="yellow"/>
        </w:rPr>
        <w:t xml:space="preserve">produkty w toku produkcji wyceniane są </w:t>
      </w:r>
      <w:r w:rsidRPr="00977FAD">
        <w:rPr>
          <w:highlight w:val="yellow"/>
        </w:rPr>
        <w:t xml:space="preserve">na dzień bilansowy w wysokości bezpośrednich kosztów wytworzenia / </w:t>
      </w:r>
      <w:r w:rsidR="00214E4A">
        <w:rPr>
          <w:highlight w:val="yellow"/>
        </w:rPr>
        <w:t xml:space="preserve">kosztów zużytych </w:t>
      </w:r>
      <w:r w:rsidRPr="00977FAD">
        <w:rPr>
          <w:highlight w:val="yellow"/>
        </w:rPr>
        <w:t>materiałów bezpośrednich</w:t>
      </w:r>
      <w:r w:rsidR="001C371A">
        <w:rPr>
          <w:highlight w:val="yellow"/>
        </w:rPr>
        <w:t xml:space="preserve"> </w:t>
      </w:r>
      <w:r w:rsidRPr="00977FAD">
        <w:rPr>
          <w:highlight w:val="yellow"/>
        </w:rPr>
        <w:t xml:space="preserve">/ nie </w:t>
      </w:r>
      <w:r w:rsidR="001C371A">
        <w:rPr>
          <w:highlight w:val="yellow"/>
        </w:rPr>
        <w:t xml:space="preserve">są w ogóle </w:t>
      </w:r>
      <w:r w:rsidRPr="00977FAD">
        <w:rPr>
          <w:highlight w:val="yellow"/>
        </w:rPr>
        <w:t>wyceni</w:t>
      </w:r>
      <w:r w:rsidR="001C371A">
        <w:rPr>
          <w:highlight w:val="yellow"/>
        </w:rPr>
        <w:t>ane</w:t>
      </w:r>
      <w:r w:rsidRPr="00977FAD">
        <w:rPr>
          <w:highlight w:val="yellow"/>
        </w:rPr>
        <w:t>.</w:t>
      </w:r>
      <w:r w:rsidR="001C371A" w:rsidRPr="001C371A">
        <w:rPr>
          <w:i/>
          <w:color w:val="FF0000"/>
        </w:rPr>
        <w:t xml:space="preserve"> </w:t>
      </w:r>
      <w:r w:rsidR="001C371A" w:rsidRPr="00C75EDE">
        <w:rPr>
          <w:i/>
          <w:color w:val="FF0000"/>
        </w:rPr>
        <w:t>(</w:t>
      </w:r>
      <w:r w:rsidR="001C371A">
        <w:rPr>
          <w:i/>
          <w:color w:val="FF0000"/>
        </w:rPr>
        <w:t>nie dotyczy produkcji rolnej - uproszczenie</w:t>
      </w:r>
      <w:r w:rsidR="001C371A" w:rsidRPr="00C75EDE">
        <w:rPr>
          <w:i/>
          <w:color w:val="FF0000"/>
        </w:rPr>
        <w:t>)</w:t>
      </w:r>
      <w:r w:rsidR="00563D9D">
        <w:rPr>
          <w:i/>
          <w:color w:val="FF0000"/>
        </w:rPr>
        <w:t xml:space="preserve"> </w:t>
      </w:r>
    </w:p>
    <w:p w14:paraId="3A2EFA44" w14:textId="77777777" w:rsidR="00FE77F6" w:rsidRDefault="00214E4A" w:rsidP="00FB4346">
      <w:pPr>
        <w:jc w:val="left"/>
        <w:rPr>
          <w:i/>
        </w:rPr>
      </w:pPr>
      <w:r w:rsidRPr="00BC74E1">
        <w:rPr>
          <w:i/>
          <w:highlight w:val="cyan"/>
        </w:rPr>
        <w:t>(</w:t>
      </w:r>
      <w:r w:rsidRPr="00BC74E1">
        <w:rPr>
          <w:i/>
          <w:color w:val="C00000"/>
          <w:highlight w:val="cyan"/>
        </w:rPr>
        <w:t xml:space="preserve">w przypadku </w:t>
      </w:r>
      <w:r w:rsidRPr="00214E4A">
        <w:rPr>
          <w:i/>
          <w:color w:val="C00000"/>
          <w:highlight w:val="cyan"/>
        </w:rPr>
        <w:t>działalności deweloperskiej</w:t>
      </w:r>
      <w:r w:rsidRPr="00BC74E1">
        <w:rPr>
          <w:i/>
          <w:highlight w:val="cyan"/>
        </w:rPr>
        <w:t>)</w:t>
      </w:r>
      <w:r>
        <w:rPr>
          <w:i/>
        </w:rPr>
        <w:t xml:space="preserve"> </w:t>
      </w:r>
    </w:p>
    <w:p w14:paraId="349B1A1A" w14:textId="77777777" w:rsidR="00FE77F6" w:rsidRPr="00C063E8" w:rsidRDefault="00FE77F6" w:rsidP="00FE77F6">
      <w:pPr>
        <w:jc w:val="left"/>
        <w:rPr>
          <w:iCs/>
          <w:highlight w:val="cyan"/>
        </w:rPr>
      </w:pPr>
      <w:r w:rsidRPr="00C063E8">
        <w:rPr>
          <w:iCs/>
          <w:highlight w:val="cyan"/>
        </w:rPr>
        <w:t xml:space="preserve">W pozycji zapasów Spółka ujmuje i prezentuje nakłady związane z prowadzonym przedsięwzięciem deweloperskim. </w:t>
      </w:r>
    </w:p>
    <w:p w14:paraId="3CCEF250" w14:textId="117D15E5" w:rsidR="00214E4A" w:rsidRPr="00214E4A" w:rsidRDefault="00214E4A" w:rsidP="00FB4346">
      <w:pPr>
        <w:jc w:val="left"/>
        <w:rPr>
          <w:iCs/>
          <w:highlight w:val="cyan"/>
        </w:rPr>
      </w:pPr>
      <w:r w:rsidRPr="00214E4A">
        <w:rPr>
          <w:iCs/>
          <w:highlight w:val="cyan"/>
        </w:rPr>
        <w:t>Nabyty w wyniku prowadzonej działalności deweloperskiej  grunt lub prawo wieczystego użytkowania (PWUG) dla realizacji ściśle określonego przedsięwzięcia deweloperskiego do momentu jego rozpoczęcia wykazuje się w cenie nabycia jako towary. Cena nabycia takiego gruntu lub PW</w:t>
      </w:r>
      <w:r w:rsidR="00231F07">
        <w:rPr>
          <w:iCs/>
          <w:highlight w:val="cyan"/>
        </w:rPr>
        <w:t>U</w:t>
      </w:r>
      <w:r w:rsidRPr="00214E4A">
        <w:rPr>
          <w:iCs/>
          <w:highlight w:val="cyan"/>
        </w:rPr>
        <w:t>G do czasu rozpoczęcia przedsięwzięcia deweloperskiego jest powiększana o:</w:t>
      </w:r>
    </w:p>
    <w:p w14:paraId="6DC049DC" w14:textId="4F9C9BE8" w:rsidR="00214E4A" w:rsidRPr="00214E4A" w:rsidRDefault="00214E4A" w:rsidP="00FB4346">
      <w:pPr>
        <w:pStyle w:val="Akapitzlist"/>
        <w:numPr>
          <w:ilvl w:val="0"/>
          <w:numId w:val="9"/>
        </w:numPr>
        <w:jc w:val="left"/>
        <w:rPr>
          <w:iCs/>
          <w:highlight w:val="cyan"/>
        </w:rPr>
      </w:pPr>
      <w:r w:rsidRPr="00214E4A">
        <w:rPr>
          <w:iCs/>
          <w:highlight w:val="cyan"/>
        </w:rPr>
        <w:t>koszty związane z jego przystosowaniem do stanu zdatnego do używania lub wprowadzenia do obrotu, w szczególności o koszty odrolnienia, rekultywacji terenu, karczowania, rozbiórki zbędnych zabudowań, uzbrojenia terenu,</w:t>
      </w:r>
    </w:p>
    <w:p w14:paraId="2854E9F7" w14:textId="7D057255" w:rsidR="00214E4A" w:rsidRPr="00214E4A" w:rsidRDefault="00214E4A" w:rsidP="00FB4346">
      <w:pPr>
        <w:pStyle w:val="Akapitzlist"/>
        <w:numPr>
          <w:ilvl w:val="0"/>
          <w:numId w:val="9"/>
        </w:numPr>
        <w:jc w:val="left"/>
        <w:rPr>
          <w:iCs/>
          <w:highlight w:val="cyan"/>
        </w:rPr>
      </w:pPr>
      <w:r w:rsidRPr="00214E4A">
        <w:rPr>
          <w:iCs/>
          <w:highlight w:val="cyan"/>
        </w:rPr>
        <w:lastRenderedPageBreak/>
        <w:t>koszty finansowania zewnętrznego związanego z zakupem i przystosowaniem do stanu zdatnego do jego sprzedaży oraz pomniejszana przychody z tego tytułu (</w:t>
      </w:r>
      <w:r w:rsidRPr="00214E4A">
        <w:rPr>
          <w:i/>
          <w:color w:val="C00000"/>
          <w:highlight w:val="cyan"/>
        </w:rPr>
        <w:t>możliwość</w:t>
      </w:r>
      <w:r w:rsidRPr="00214E4A">
        <w:rPr>
          <w:iCs/>
          <w:highlight w:val="cyan"/>
        </w:rPr>
        <w:t>).</w:t>
      </w:r>
    </w:p>
    <w:p w14:paraId="55003132" w14:textId="26AA8C38" w:rsidR="00214E4A" w:rsidRPr="00214E4A" w:rsidRDefault="00214E4A" w:rsidP="00FB4346">
      <w:pPr>
        <w:jc w:val="left"/>
        <w:rPr>
          <w:iCs/>
          <w:highlight w:val="cyan"/>
        </w:rPr>
      </w:pPr>
      <w:r w:rsidRPr="00214E4A">
        <w:rPr>
          <w:iCs/>
          <w:highlight w:val="cyan"/>
        </w:rPr>
        <w:t>Nabyty w związku z działalnością deweloperską budynek w celu realizacji ściśle określonego przedsięwzięcia deweloperskiego, wymagający przebudowy (ulepszenia), do czasu rozpoczęcia przedsięwzięcia deweloperskiego jest kwalifikowany do towarów (zapasów).</w:t>
      </w:r>
    </w:p>
    <w:p w14:paraId="77D1FC22" w14:textId="70C67523" w:rsidR="00214E4A" w:rsidRDefault="00214E4A" w:rsidP="00FB4346">
      <w:pPr>
        <w:jc w:val="left"/>
        <w:rPr>
          <w:iCs/>
        </w:rPr>
      </w:pPr>
      <w:r w:rsidRPr="00214E4A">
        <w:rPr>
          <w:iCs/>
          <w:highlight w:val="cyan"/>
        </w:rPr>
        <w:t>W dniu rozpoczęcia przedsięwzięcia deweloperskiego wynikająca z ksiąg rachunkowych wartość gruntu, wartość prawa wieczystego użytkowania gruntu lub wartość budynku do przebudowy (ulepszenia), na którym przedsięwzięcie to będzie realizowane odnosi się w ciężar kosztów produkcji w toku przedsięwzięcia deweloperskiego, a dodatkowo w przypadku PWUG zaprzestaje się jego umarzania i amortyzacji.</w:t>
      </w:r>
    </w:p>
    <w:p w14:paraId="0888BA87" w14:textId="53BB441F" w:rsidR="00214E4A" w:rsidRDefault="00FE77F6" w:rsidP="00FB4346">
      <w:pPr>
        <w:jc w:val="left"/>
        <w:rPr>
          <w:iCs/>
        </w:rPr>
      </w:pPr>
      <w:r w:rsidRPr="00C063E8">
        <w:rPr>
          <w:iCs/>
          <w:highlight w:val="cyan"/>
        </w:rPr>
        <w:t xml:space="preserve">Koszty wykonania przedsięwzięcia deweloperskiego gromadzone są przez Spółkę dla każdego przedsięwzięcia odrębnie do czasu jego zakończenia. W przypadku, gdy umowa deweloperska została zaklasyfikowana jako sprzedaż wyrobów w bilansie wykazuje się ją w pozycji "Produkcja w toku" bez względu na to, czy budowa została zlecona generalnemu wykonawcy, czy też następuje siłami własnymi dewelopera. Do kosztów </w:t>
      </w:r>
      <w:r w:rsidRPr="00A76578">
        <w:rPr>
          <w:iCs/>
          <w:highlight w:val="cyan"/>
        </w:rPr>
        <w:t xml:space="preserve">wykonania przedsięwzięcia deweloperskiego </w:t>
      </w:r>
      <w:r w:rsidRPr="00C063E8">
        <w:rPr>
          <w:iCs/>
          <w:highlight w:val="cyan"/>
        </w:rPr>
        <w:t>zalicza się wszystkie składniki kosztu wytworzenia w rozumieniu art. 28 ust. 3 ustawy o rachunkowości.</w:t>
      </w:r>
      <w:r>
        <w:rPr>
          <w:iCs/>
          <w:highlight w:val="cyan"/>
        </w:rPr>
        <w:t xml:space="preserve"> Koszty te obejmują również m.in. </w:t>
      </w:r>
      <w:r w:rsidR="00847C98" w:rsidRPr="00847C98">
        <w:rPr>
          <w:iCs/>
          <w:highlight w:val="cyan"/>
        </w:rPr>
        <w:t xml:space="preserve">poniesione po dniu rozpoczęcia przedsięwzięcia deweloperskiego, aż do dnia jego zakończenia: </w:t>
      </w:r>
      <w:r w:rsidR="00847C98" w:rsidRPr="00B11F99">
        <w:rPr>
          <w:iCs/>
          <w:highlight w:val="green"/>
        </w:rPr>
        <w:t xml:space="preserve">(i) podatek od nieruchomości lub opłaty za wieczyste użytkowanie gruntu, na którym posadowiona jest nieruchomość stanowiąca przedmiot przedsięwzięcia deweloperskiego, </w:t>
      </w:r>
      <w:r>
        <w:rPr>
          <w:iCs/>
          <w:highlight w:val="green"/>
        </w:rPr>
        <w:br/>
      </w:r>
      <w:r w:rsidR="00847C98" w:rsidRPr="00847C98">
        <w:rPr>
          <w:iCs/>
          <w:highlight w:val="cyan"/>
        </w:rPr>
        <w:t xml:space="preserve">(ii) koszty finansowania zewnętrznego przedsięwzięcia deweloperskiego (odsetki, w tym dyskonto, koszty finansowania z tytułu leasingu finansowego, ujemne różnice kursowe, prowizje, opłaty i inne koszty poniesione w związku z zaciągnięciem kredytów, pożyczek i innych zobowiązań finansujących dane przedsięwzięcia deweloperskie) skorygowane o przychody z tego tytułu, (iii) koszty związane </w:t>
      </w:r>
      <w:r>
        <w:rPr>
          <w:iCs/>
          <w:highlight w:val="cyan"/>
        </w:rPr>
        <w:br/>
      </w:r>
      <w:r w:rsidR="00847C98" w:rsidRPr="00847C98">
        <w:rPr>
          <w:iCs/>
          <w:highlight w:val="cyan"/>
        </w:rPr>
        <w:t>z przerwami technologicznymi w budowie lub przebudowie nieruchomości objętych przedsięwzięciem deweloperskim</w:t>
      </w:r>
      <w:r>
        <w:rPr>
          <w:iCs/>
          <w:highlight w:val="cyan"/>
        </w:rPr>
        <w:t>,</w:t>
      </w:r>
      <w:r w:rsidR="00847C98" w:rsidRPr="00847C98">
        <w:rPr>
          <w:iCs/>
          <w:highlight w:val="cyan"/>
        </w:rPr>
        <w:t xml:space="preserve"> jeżeli są one technologicznie uzasadnione.</w:t>
      </w:r>
    </w:p>
    <w:p w14:paraId="246B4251" w14:textId="77777777" w:rsidR="00757595" w:rsidRPr="00B11F99" w:rsidRDefault="00757595" w:rsidP="00FB4346">
      <w:pPr>
        <w:jc w:val="left"/>
        <w:rPr>
          <w:highlight w:val="cyan"/>
        </w:rPr>
      </w:pPr>
      <w:r w:rsidRPr="00B11F99">
        <w:rPr>
          <w:highlight w:val="cyan"/>
        </w:rPr>
        <w:t xml:space="preserve">Do kosztów wytworzenia przedsięwzięcia deweloperskiego Spółka w szczególności nie zalicza kosztów informacji, promocji, marketingu, reklamy i sprzedaży (w tym prowizji pośredników </w:t>
      </w:r>
      <w:r w:rsidRPr="00B11F99">
        <w:rPr>
          <w:highlight w:val="cyan"/>
        </w:rPr>
        <w:br/>
        <w:t>i sprzedawców) przedmiotów przedsięwzięcia deweloperskiego. Koszty te są uznawane za koszty sprzedaży i obciążają koszty i wynik finansowy okresu ich poniesienia. Ponadto kosztami wytworzenia przedsięwzięcia deweloperskiego nie są również koszty:</w:t>
      </w:r>
    </w:p>
    <w:p w14:paraId="41DBDED7" w14:textId="52313C8A" w:rsidR="00757595" w:rsidRPr="009D10B3" w:rsidRDefault="00757595" w:rsidP="00C063E8">
      <w:pPr>
        <w:pStyle w:val="Akapitzlist"/>
        <w:numPr>
          <w:ilvl w:val="0"/>
          <w:numId w:val="18"/>
        </w:numPr>
        <w:jc w:val="left"/>
        <w:rPr>
          <w:iCs/>
          <w:highlight w:val="cyan"/>
        </w:rPr>
      </w:pPr>
      <w:r w:rsidRPr="009D10B3">
        <w:rPr>
          <w:iCs/>
          <w:highlight w:val="cyan"/>
        </w:rPr>
        <w:t>przerw (</w:t>
      </w:r>
      <w:r w:rsidR="009D10B3" w:rsidRPr="009D10B3">
        <w:rPr>
          <w:iCs/>
          <w:highlight w:val="cyan"/>
        </w:rPr>
        <w:t>przestoj</w:t>
      </w:r>
      <w:r w:rsidR="009D10B3">
        <w:rPr>
          <w:iCs/>
          <w:highlight w:val="cyan"/>
        </w:rPr>
        <w:t>ów</w:t>
      </w:r>
      <w:r w:rsidRPr="009D10B3">
        <w:rPr>
          <w:iCs/>
          <w:highlight w:val="cyan"/>
        </w:rPr>
        <w:t>) w budowie lub przebudowie nieruchomości objętych przedsięwzięciem deweloperskim, spowodowane innymi przyczynami niż technologicznie – koszty te kwalifikowane są jako pozostałe koszty operacyjne,</w:t>
      </w:r>
      <w:r w:rsidR="009D10B3">
        <w:rPr>
          <w:iCs/>
          <w:highlight w:val="cyan"/>
        </w:rPr>
        <w:t xml:space="preserve"> </w:t>
      </w:r>
    </w:p>
    <w:p w14:paraId="2B00A789" w14:textId="77777777" w:rsidR="00757595" w:rsidRPr="009D10B3" w:rsidRDefault="00757595" w:rsidP="00C063E8">
      <w:pPr>
        <w:pStyle w:val="Akapitzlist"/>
        <w:numPr>
          <w:ilvl w:val="0"/>
          <w:numId w:val="18"/>
        </w:numPr>
        <w:jc w:val="left"/>
        <w:rPr>
          <w:iCs/>
          <w:highlight w:val="cyan"/>
        </w:rPr>
      </w:pPr>
      <w:r w:rsidRPr="009D10B3">
        <w:rPr>
          <w:iCs/>
          <w:highlight w:val="cyan"/>
        </w:rPr>
        <w:t>utrzymania i ochrony nieruchomości po ich wybudowaniu, a przed sprzedażą lub przekwalifikowaniem do inwestycji w nieruchomości, także w okresie tzw. wynajmu przejściowego - koszty te kwalifikowane są jako koszty ogólne,</w:t>
      </w:r>
    </w:p>
    <w:p w14:paraId="53280CE8" w14:textId="77777777" w:rsidR="00757595" w:rsidRPr="009D10B3" w:rsidRDefault="00757595" w:rsidP="00C063E8">
      <w:pPr>
        <w:pStyle w:val="Akapitzlist"/>
        <w:numPr>
          <w:ilvl w:val="0"/>
          <w:numId w:val="18"/>
        </w:numPr>
        <w:jc w:val="left"/>
        <w:rPr>
          <w:iCs/>
          <w:highlight w:val="cyan"/>
        </w:rPr>
      </w:pPr>
      <w:r w:rsidRPr="009D10B3">
        <w:rPr>
          <w:iCs/>
          <w:highlight w:val="cyan"/>
        </w:rPr>
        <w:t xml:space="preserve">zarządu, w tym wynagrodzenia kierownictwa jednostki oraz pracowników administracji wraz </w:t>
      </w:r>
      <w:r w:rsidRPr="009D10B3">
        <w:rPr>
          <w:iCs/>
          <w:highlight w:val="cyan"/>
        </w:rPr>
        <w:br/>
        <w:t>z pochodnymi, obsługi prawnej, finansowo-księgowej, utrzymania pomieszczeń administracyjnych, samochodów, biurowe itp. – koszty te kwalifikowane są jako koszty ogólne.</w:t>
      </w:r>
    </w:p>
    <w:p w14:paraId="42840DD4" w14:textId="77777777" w:rsidR="00757595" w:rsidRPr="005165CB" w:rsidRDefault="00757595" w:rsidP="00FB4346">
      <w:pPr>
        <w:jc w:val="left"/>
      </w:pPr>
      <w:r w:rsidRPr="00B11F99">
        <w:rPr>
          <w:highlight w:val="green"/>
        </w:rPr>
        <w:t>Poza powyższym Spółka nie zalicza do kosztów wytworzenia podatku od nieruchomości i opłat za wieczyste użytkowanie gruntów, które obciążają koszty i wynik finansowy okresu ich poniesienia.</w:t>
      </w:r>
    </w:p>
    <w:p w14:paraId="7D67EDBA" w14:textId="1A3DFC84" w:rsidR="00977FAD" w:rsidRDefault="00901361" w:rsidP="00FB4346">
      <w:pPr>
        <w:jc w:val="left"/>
      </w:pPr>
      <w:commentRangeStart w:id="8"/>
      <w:r w:rsidRPr="00C75EDE">
        <w:lastRenderedPageBreak/>
        <w:t xml:space="preserve">Zapasy, które utraciły swoją wartość handlową i użytkową obejmuje się odpisem aktualizującym. </w:t>
      </w:r>
      <w:commentRangeEnd w:id="8"/>
      <w:r w:rsidR="009D10B3">
        <w:rPr>
          <w:rStyle w:val="Odwoaniedokomentarza"/>
        </w:rPr>
        <w:commentReference w:id="8"/>
      </w:r>
      <w:r w:rsidR="009D10B3">
        <w:t>O</w:t>
      </w:r>
      <w:r w:rsidRPr="00C75EDE">
        <w:t xml:space="preserve">dpisy </w:t>
      </w:r>
      <w:r w:rsidR="004C4040">
        <w:t xml:space="preserve">z tytułu utraty </w:t>
      </w:r>
      <w:r w:rsidR="009D10B3" w:rsidRPr="00C75EDE">
        <w:t>wartoś</w:t>
      </w:r>
      <w:r w:rsidR="009D10B3">
        <w:t>ci</w:t>
      </w:r>
      <w:r w:rsidR="009D10B3" w:rsidRPr="00C75EDE">
        <w:t xml:space="preserve"> </w:t>
      </w:r>
      <w:r w:rsidRPr="00C75EDE">
        <w:t xml:space="preserve">składników zapasów zalicza się </w:t>
      </w:r>
      <w:r w:rsidR="004C4040">
        <w:t>w ciężar</w:t>
      </w:r>
      <w:r w:rsidRPr="00C75EDE">
        <w:t xml:space="preserve"> </w:t>
      </w:r>
      <w:r w:rsidRPr="00C75EDE">
        <w:rPr>
          <w:highlight w:val="yellow"/>
        </w:rPr>
        <w:t>pozostałych kosztów operacyjnych</w:t>
      </w:r>
      <w:r w:rsidR="004E5353" w:rsidRPr="00C75EDE">
        <w:t>.</w:t>
      </w:r>
      <w:r w:rsidRPr="00C75EDE">
        <w:t xml:space="preserve"> </w:t>
      </w:r>
      <w:bookmarkStart w:id="9" w:name="_Hlk90670310"/>
      <w:r w:rsidR="009B1799">
        <w:rPr>
          <w:highlight w:val="yellow"/>
        </w:rPr>
        <w:t>U</w:t>
      </w:r>
      <w:r w:rsidR="001C371A" w:rsidRPr="00B11F99">
        <w:rPr>
          <w:highlight w:val="yellow"/>
        </w:rPr>
        <w:t xml:space="preserve">trata wartości produktów, półfabrykatów oraz produkcji w toku ujmowana jest </w:t>
      </w:r>
      <w:r w:rsidR="009D10B3">
        <w:rPr>
          <w:highlight w:val="yellow"/>
        </w:rPr>
        <w:br/>
      </w:r>
      <w:r w:rsidR="001C371A" w:rsidRPr="00B11F99">
        <w:rPr>
          <w:highlight w:val="yellow"/>
        </w:rPr>
        <w:t>z zachowaniem kontroli kręgu kosztów.</w:t>
      </w:r>
      <w:r w:rsidR="001C371A">
        <w:t xml:space="preserve"> </w:t>
      </w:r>
      <w:bookmarkEnd w:id="9"/>
    </w:p>
    <w:p w14:paraId="1717F5A1" w14:textId="5AF7F44F" w:rsidR="00901361" w:rsidRPr="00C75EDE" w:rsidRDefault="004445AC" w:rsidP="00FB4346">
      <w:pPr>
        <w:jc w:val="left"/>
      </w:pPr>
      <w:r w:rsidRPr="00C75EDE">
        <w:t xml:space="preserve">W odniesieniu do zapasów Jednostka prowadzi </w:t>
      </w:r>
      <w:r w:rsidRPr="00C75EDE">
        <w:rPr>
          <w:highlight w:val="yellow"/>
        </w:rPr>
        <w:t>ewidencję ilościową/wartościową/ilościowo-wartościową</w:t>
      </w:r>
      <w:r w:rsidR="00A079F9">
        <w:t xml:space="preserve"> [</w:t>
      </w:r>
      <w:r w:rsidR="00A079F9" w:rsidRPr="004162CD">
        <w:rPr>
          <w:i/>
          <w:color w:val="FF0000"/>
        </w:rPr>
        <w:t>jeżeli stosowane różne ewidencje do poszczególnych grup – należy to wskazać</w:t>
      </w:r>
      <w:r w:rsidR="00A079F9">
        <w:t>]</w:t>
      </w:r>
      <w:r w:rsidRPr="00C75EDE">
        <w:t>.</w:t>
      </w:r>
    </w:p>
    <w:bookmarkEnd w:id="7"/>
    <w:p w14:paraId="0D36DB1D" w14:textId="77777777" w:rsidR="00901361" w:rsidRPr="00B43AC9" w:rsidRDefault="00901361" w:rsidP="00FB4346">
      <w:pPr>
        <w:pStyle w:val="Nagwek1"/>
        <w:numPr>
          <w:ilvl w:val="1"/>
          <w:numId w:val="5"/>
        </w:numPr>
        <w:ind w:left="993" w:hanging="709"/>
        <w:jc w:val="left"/>
      </w:pPr>
      <w:r w:rsidRPr="00B43AC9">
        <w:t>Należności i zobowiązania</w:t>
      </w:r>
    </w:p>
    <w:p w14:paraId="0C808ECD" w14:textId="542DF3A8" w:rsidR="004D1F4E" w:rsidRDefault="00977FAD" w:rsidP="00FB4346">
      <w:pPr>
        <w:jc w:val="left"/>
      </w:pPr>
      <w:r>
        <w:t xml:space="preserve">Należności </w:t>
      </w:r>
      <w:r w:rsidR="00901361" w:rsidRPr="00C75EDE">
        <w:t>w walucie polskiej wykazywane są</w:t>
      </w:r>
      <w:r w:rsidR="004445AC" w:rsidRPr="00C75EDE">
        <w:t> </w:t>
      </w:r>
      <w:r w:rsidR="00901361" w:rsidRPr="00C75EDE">
        <w:t>według wartości podlegającej zapłacie</w:t>
      </w:r>
      <w:r w:rsidR="004D1F4E">
        <w:t xml:space="preserve">, </w:t>
      </w:r>
      <w:r w:rsidR="00824FCD">
        <w:t>z </w:t>
      </w:r>
      <w:r w:rsidR="004D1F4E" w:rsidRPr="004D1F4E">
        <w:t>zachowaniem zasady ostrożności</w:t>
      </w:r>
      <w:r w:rsidR="00901361" w:rsidRPr="00C75EDE">
        <w:t xml:space="preserve">. </w:t>
      </w:r>
    </w:p>
    <w:p w14:paraId="50761F04" w14:textId="59C69526" w:rsidR="00161F86" w:rsidRPr="0065183B" w:rsidRDefault="007E393A" w:rsidP="00FB4346">
      <w:pPr>
        <w:jc w:val="left"/>
        <w:rPr>
          <w:highlight w:val="yellow"/>
        </w:rPr>
      </w:pPr>
      <w:r w:rsidRPr="007E393A">
        <w:rPr>
          <w:highlight w:val="yellow"/>
        </w:rPr>
        <w:t>Na dzień bilansowy należności i udzielone pożyczki zaliczone do aktywów finansowych, wyceniane są</w:t>
      </w:r>
      <w:r w:rsidR="000D12E1">
        <w:rPr>
          <w:highlight w:val="yellow"/>
        </w:rPr>
        <w:t xml:space="preserve"> </w:t>
      </w:r>
      <w:r w:rsidRPr="007E393A">
        <w:rPr>
          <w:highlight w:val="yellow"/>
        </w:rPr>
        <w:t xml:space="preserve">według skorygowanej ceny nabycia, a przeznaczone do sprzedaży w okresie do 3 miesięcy, według wartości rynkowej lub inaczej określonej wartości </w:t>
      </w:r>
      <w:r w:rsidRPr="000D12E1">
        <w:rPr>
          <w:highlight w:val="yellow"/>
        </w:rPr>
        <w:t>godziwej.</w:t>
      </w:r>
      <w:r w:rsidR="00161F86" w:rsidRPr="00B11F99">
        <w:rPr>
          <w:highlight w:val="yellow"/>
        </w:rPr>
        <w:t xml:space="preserve"> Jeżeli </w:t>
      </w:r>
      <w:r w:rsidR="000D12E1" w:rsidRPr="000D12E1">
        <w:rPr>
          <w:highlight w:val="yellow"/>
        </w:rPr>
        <w:t xml:space="preserve">kwota </w:t>
      </w:r>
      <w:r w:rsidR="00161F86" w:rsidRPr="00B11F99">
        <w:rPr>
          <w:highlight w:val="yellow"/>
        </w:rPr>
        <w:t>dyskont</w:t>
      </w:r>
      <w:r w:rsidR="000D12E1" w:rsidRPr="000D12E1">
        <w:rPr>
          <w:highlight w:val="yellow"/>
        </w:rPr>
        <w:t>a / prowizji</w:t>
      </w:r>
      <w:r w:rsidR="00161F86" w:rsidRPr="00B11F99">
        <w:rPr>
          <w:highlight w:val="yellow"/>
        </w:rPr>
        <w:t xml:space="preserve"> nie jest istotn</w:t>
      </w:r>
      <w:r w:rsidR="000D12E1" w:rsidRPr="000D12E1">
        <w:rPr>
          <w:highlight w:val="yellow"/>
        </w:rPr>
        <w:t>a</w:t>
      </w:r>
      <w:r w:rsidR="00161F86" w:rsidRPr="00B11F99">
        <w:rPr>
          <w:highlight w:val="yellow"/>
        </w:rPr>
        <w:t>, wycena następuje w wartości nominalnej.</w:t>
      </w:r>
    </w:p>
    <w:p w14:paraId="0FEE6059" w14:textId="7E2476FB" w:rsidR="0065183B" w:rsidRDefault="0065183B" w:rsidP="00FB4346">
      <w:pPr>
        <w:jc w:val="left"/>
        <w:rPr>
          <w:highlight w:val="yellow"/>
        </w:rPr>
      </w:pPr>
      <w:bookmarkStart w:id="10" w:name="_Hlk108783848"/>
      <w:r w:rsidRPr="0065183B">
        <w:rPr>
          <w:highlight w:val="yellow"/>
        </w:rPr>
        <w:t>Zobowiązania na dzień bilansowy wyceniane są w kwocie wymagającej zapłaty</w:t>
      </w:r>
      <w:bookmarkEnd w:id="10"/>
      <w:r w:rsidRPr="0065183B">
        <w:rPr>
          <w:highlight w:val="yellow"/>
        </w:rPr>
        <w:t xml:space="preserve">, za wyjątkiem zobowiązań finansowych. </w:t>
      </w:r>
    </w:p>
    <w:p w14:paraId="18A70D0E" w14:textId="293378CA" w:rsidR="007E393A" w:rsidRDefault="007E393A" w:rsidP="00FB4346">
      <w:pPr>
        <w:jc w:val="left"/>
      </w:pPr>
      <w:bookmarkStart w:id="11" w:name="_Hlk188519223"/>
      <w:r w:rsidRPr="007E393A">
        <w:rPr>
          <w:highlight w:val="yellow"/>
        </w:rPr>
        <w:t xml:space="preserve">Zobowiązania finansowe </w:t>
      </w:r>
      <w:bookmarkEnd w:id="11"/>
      <w:r w:rsidR="00B5322B">
        <w:rPr>
          <w:highlight w:val="yellow"/>
        </w:rPr>
        <w:t xml:space="preserve">[jeżeli nie jest stosowane rozporządzenie o instrumentach finansowych] </w:t>
      </w:r>
      <w:r w:rsidRPr="007E393A">
        <w:rPr>
          <w:highlight w:val="yellow"/>
        </w:rPr>
        <w:t>wyceniane są na dzień bilansowy według skorygowanej ceny nabycia, a</w:t>
      </w:r>
      <w:r w:rsidR="0065183B">
        <w:rPr>
          <w:highlight w:val="yellow"/>
        </w:rPr>
        <w:t> </w:t>
      </w:r>
      <w:r w:rsidRPr="007E393A">
        <w:rPr>
          <w:highlight w:val="yellow"/>
        </w:rPr>
        <w:t xml:space="preserve">przeznaczone do sprzedaży w okresie do 3 miesięcy, według wartości rynkowej lub inaczej określonej wartości </w:t>
      </w:r>
      <w:r w:rsidRPr="000D12E1">
        <w:rPr>
          <w:highlight w:val="yellow"/>
        </w:rPr>
        <w:t>godziwej.</w:t>
      </w:r>
      <w:r w:rsidR="00161F86" w:rsidRPr="00B11F99">
        <w:rPr>
          <w:highlight w:val="yellow"/>
        </w:rPr>
        <w:t xml:space="preserve"> </w:t>
      </w:r>
      <w:r w:rsidR="000D12E1" w:rsidRPr="00B11F99">
        <w:rPr>
          <w:highlight w:val="yellow"/>
        </w:rPr>
        <w:t>Jeżeli kwota dyskonta / prowizji nie jest istotna, wycena następuje w wartości nominalnej</w:t>
      </w:r>
      <w:r w:rsidR="00161F86" w:rsidRPr="000D12E1">
        <w:rPr>
          <w:highlight w:val="yellow"/>
        </w:rPr>
        <w:t>.</w:t>
      </w:r>
    </w:p>
    <w:p w14:paraId="11D63C94" w14:textId="4FD33FD7" w:rsidR="00A079F9" w:rsidRDefault="00A079F9" w:rsidP="00FB4346">
      <w:pPr>
        <w:jc w:val="left"/>
      </w:pPr>
      <w:r w:rsidRPr="00A079F9">
        <w:rPr>
          <w:highlight w:val="yellow"/>
        </w:rPr>
        <w:t xml:space="preserve">Z uwagi na stosowanie przez Jednostkę postanowień </w:t>
      </w:r>
      <w:r w:rsidR="000B22D3" w:rsidRPr="000B22D3">
        <w:rPr>
          <w:highlight w:val="yellow"/>
        </w:rPr>
        <w:t xml:space="preserve">Rozporządzenia Ministra Finansów z dnia </w:t>
      </w:r>
      <w:r w:rsidR="000B22D3" w:rsidRPr="000B22D3">
        <w:rPr>
          <w:highlight w:val="yellow"/>
        </w:rPr>
        <w:br/>
        <w:t>17 listopada 2024 r. w sprawie uznawania i metod wyceny oraz ujawniania i prezentacji instrumentów finansowych (Dz.U.2024.1750)</w:t>
      </w:r>
      <w:r w:rsidRPr="00A079F9">
        <w:rPr>
          <w:highlight w:val="yellow"/>
        </w:rPr>
        <w:t xml:space="preserve"> </w:t>
      </w:r>
      <w:r w:rsidRPr="00B5322B">
        <w:rPr>
          <w:highlight w:val="yellow"/>
        </w:rPr>
        <w:t xml:space="preserve">zobowiązania finansowe </w:t>
      </w:r>
      <w:r w:rsidRPr="00A079F9">
        <w:rPr>
          <w:highlight w:val="yellow"/>
        </w:rPr>
        <w:t xml:space="preserve">są wyceniane wg zasad opisanych w punkcie </w:t>
      </w:r>
      <w:r w:rsidRPr="00A079F9">
        <w:rPr>
          <w:i/>
          <w:iCs/>
          <w:highlight w:val="yellow"/>
        </w:rPr>
        <w:t>2.13 Instrumenty finansowe</w:t>
      </w:r>
      <w:r w:rsidRPr="00A079F9">
        <w:rPr>
          <w:highlight w:val="yellow"/>
        </w:rPr>
        <w:t>.</w:t>
      </w:r>
    </w:p>
    <w:p w14:paraId="5BAC899B" w14:textId="77777777" w:rsidR="00901361" w:rsidRPr="00C75EDE" w:rsidRDefault="00901361" w:rsidP="00FB4346">
      <w:pPr>
        <w:jc w:val="left"/>
      </w:pPr>
      <w:r w:rsidRPr="00C75EDE">
        <w:t xml:space="preserve">Należności i </w:t>
      </w:r>
      <w:r w:rsidRPr="004162CD">
        <w:t xml:space="preserve">zobowiązania w walutach obcych w momencie powstania ujmowane są </w:t>
      </w:r>
      <w:r w:rsidR="001B2AB0" w:rsidRPr="004162CD">
        <w:t xml:space="preserve">według kursu średniego ogłoszonego dla danej waluty przez </w:t>
      </w:r>
      <w:r w:rsidR="00B45CDC" w:rsidRPr="004162CD">
        <w:t>NBP</w:t>
      </w:r>
      <w:r w:rsidR="004445AC" w:rsidRPr="004162CD">
        <w:t xml:space="preserve"> z dnia poprzedzającego ten dzień</w:t>
      </w:r>
      <w:r w:rsidRPr="004162CD">
        <w:t>. Dodatnie lub ujemne różnice k</w:t>
      </w:r>
      <w:r w:rsidRPr="00C75EDE">
        <w:t xml:space="preserve">ursowe powstające w dniu </w:t>
      </w:r>
      <w:r w:rsidR="004C4040">
        <w:t>uregulowania należności lub zobowiązań</w:t>
      </w:r>
      <w:r w:rsidR="004445AC" w:rsidRPr="00C75EDE">
        <w:t>,</w:t>
      </w:r>
      <w:r w:rsidRPr="00C75EDE">
        <w:t xml:space="preserve"> wynikające z</w:t>
      </w:r>
      <w:r w:rsidR="00B45CDC">
        <w:t> </w:t>
      </w:r>
      <w:r w:rsidRPr="00C75EDE">
        <w:t xml:space="preserve">różnicy pomiędzy kursem </w:t>
      </w:r>
      <w:r w:rsidR="005755FE">
        <w:t xml:space="preserve">faktycznie zastosowanym lub kursem </w:t>
      </w:r>
      <w:r w:rsidR="005755FE" w:rsidRPr="005755FE">
        <w:t xml:space="preserve">średnim ogłoszonym dla danej waluty przez </w:t>
      </w:r>
      <w:r w:rsidR="00B45CDC">
        <w:t>NBP</w:t>
      </w:r>
      <w:r w:rsidR="005755FE" w:rsidRPr="005755FE">
        <w:t xml:space="preserve"> z dnia poprzedzającego ten dzień</w:t>
      </w:r>
      <w:r w:rsidR="00824FCD">
        <w:t>, a </w:t>
      </w:r>
      <w:r w:rsidRPr="00C75EDE">
        <w:t xml:space="preserve">kursem waluty w dniu powstania należności lub zobowiązania, odnoszone są odpowiednio na </w:t>
      </w:r>
      <w:r w:rsidR="004C4040">
        <w:t xml:space="preserve">dobro </w:t>
      </w:r>
      <w:r w:rsidRPr="00C75EDE">
        <w:t>przychod</w:t>
      </w:r>
      <w:r w:rsidR="004C4040">
        <w:t>ów</w:t>
      </w:r>
      <w:r w:rsidRPr="00C75EDE">
        <w:t xml:space="preserve"> lub </w:t>
      </w:r>
      <w:r w:rsidR="004C4040">
        <w:t xml:space="preserve">w ciężar </w:t>
      </w:r>
      <w:r w:rsidRPr="00C75EDE">
        <w:t>koszt</w:t>
      </w:r>
      <w:r w:rsidR="004C4040">
        <w:t>ów</w:t>
      </w:r>
      <w:r w:rsidRPr="00C75EDE">
        <w:t xml:space="preserve"> operacji finansowych.</w:t>
      </w:r>
    </w:p>
    <w:p w14:paraId="0527F001" w14:textId="77777777" w:rsidR="00901361" w:rsidRPr="00C75EDE" w:rsidRDefault="00490536" w:rsidP="00FB4346">
      <w:pPr>
        <w:jc w:val="left"/>
      </w:pPr>
      <w:bookmarkStart w:id="12" w:name="_Hlk194132627"/>
      <w:r w:rsidRPr="00C75EDE">
        <w:t>Nierozliczone</w:t>
      </w:r>
      <w:r w:rsidR="00901361" w:rsidRPr="00C75EDE">
        <w:t xml:space="preserve"> na dzień bilansowy należności i zobowiązania w walucie obcej wycenia się według średniego kursu </w:t>
      </w:r>
      <w:r w:rsidR="005755FE" w:rsidRPr="005755FE">
        <w:t>ogłoszon</w:t>
      </w:r>
      <w:r w:rsidR="005755FE">
        <w:t>ego</w:t>
      </w:r>
      <w:r w:rsidR="005755FE" w:rsidRPr="005755FE">
        <w:t xml:space="preserve"> dla danej waluty przez </w:t>
      </w:r>
      <w:r w:rsidR="00901361" w:rsidRPr="00C75EDE">
        <w:t xml:space="preserve">NBP na ten dzień. </w:t>
      </w:r>
    </w:p>
    <w:bookmarkEnd w:id="12"/>
    <w:p w14:paraId="682F1108" w14:textId="00FDD8C0" w:rsidR="00901361" w:rsidRDefault="00901361" w:rsidP="00FB4346">
      <w:pPr>
        <w:jc w:val="left"/>
      </w:pPr>
      <w:commentRangeStart w:id="13"/>
      <w:r w:rsidRPr="00C75EDE">
        <w:t>Wartość należności aktualizuje się</w:t>
      </w:r>
      <w:r w:rsidR="00B45CDC">
        <w:t>,</w:t>
      </w:r>
      <w:r w:rsidRPr="00C75EDE">
        <w:t xml:space="preserve"> uwzględniając stopień prawdopodobieństwa ich zapłaty poprzez dokonanie odpisu aktualizującego.</w:t>
      </w:r>
      <w:r w:rsidR="00CF61FD">
        <w:t xml:space="preserve"> </w:t>
      </w:r>
      <w:commentRangeEnd w:id="13"/>
      <w:r w:rsidR="00161F86">
        <w:rPr>
          <w:rStyle w:val="Odwoaniedokomentarza"/>
        </w:rPr>
        <w:commentReference w:id="13"/>
      </w:r>
      <w:r w:rsidR="00CF61FD" w:rsidRPr="00CF61FD">
        <w:t>Odpisy aktualizujące wartość należności zalicza się odpowiednio do pozostałych kosztów operacyjnych lub do kosztów finansowych</w:t>
      </w:r>
      <w:r w:rsidR="00CF61FD">
        <w:t>,</w:t>
      </w:r>
      <w:r w:rsidR="00CF61FD" w:rsidRPr="00CF61FD">
        <w:t xml:space="preserve"> zależnie od rodzaju należności, której dotyczy odpis </w:t>
      </w:r>
      <w:r w:rsidR="009B1799" w:rsidRPr="00C75EDE">
        <w:t>aktualizując</w:t>
      </w:r>
      <w:r w:rsidR="009B1799">
        <w:t>y</w:t>
      </w:r>
      <w:r w:rsidR="00CF61FD">
        <w:t>.</w:t>
      </w:r>
      <w:r w:rsidR="009B1799">
        <w:t xml:space="preserve"> </w:t>
      </w:r>
    </w:p>
    <w:p w14:paraId="23940EDF" w14:textId="516D3052" w:rsidR="00B20DDD" w:rsidRPr="00C75EDE" w:rsidRDefault="00B20DDD" w:rsidP="00FB4346">
      <w:pPr>
        <w:jc w:val="left"/>
      </w:pPr>
      <w:r w:rsidRPr="00B11F99">
        <w:rPr>
          <w:highlight w:val="yellow"/>
        </w:rPr>
        <w:t xml:space="preserve">W sytuacji, gdy ustanie przyczyna, dla której dokonano odpisu z tytułu trwałej utraty wartości, dokonuje się przywrócenia dokonanego odpisu do wartości pierwotnej. Przyjmuje się zasadę, że jeśli odpis z tytułu utraty wartości był dokonany w tym samym roku obrotowym to przywrócenie jego wartości pierwotnej następuje </w:t>
      </w:r>
      <w:r w:rsidR="005D4B47">
        <w:rPr>
          <w:highlight w:val="yellow"/>
        </w:rPr>
        <w:t>w drodze korekty kosztów, w ciężar których odpis był pierwotnie utworzony</w:t>
      </w:r>
      <w:r w:rsidRPr="00B11F99">
        <w:rPr>
          <w:highlight w:val="yellow"/>
        </w:rPr>
        <w:t xml:space="preserve">. Natomiast przywrócenie wartości pierwotnej dla odpisu dokonanego w latach ubiegłych </w:t>
      </w:r>
      <w:r w:rsidRPr="00B11F99">
        <w:rPr>
          <w:highlight w:val="yellow"/>
        </w:rPr>
        <w:lastRenderedPageBreak/>
        <w:t>następuje poprzez zapis na dobro pozostałych przychodów operacyjnych lub przychodów ﬁnansowych w zależności, czego dotyczył odpis.</w:t>
      </w:r>
    </w:p>
    <w:p w14:paraId="70AD425C" w14:textId="77777777" w:rsidR="00901361" w:rsidRPr="00B43AC9" w:rsidRDefault="00901361" w:rsidP="00FB4346">
      <w:pPr>
        <w:pStyle w:val="Nagwek1"/>
        <w:numPr>
          <w:ilvl w:val="1"/>
          <w:numId w:val="5"/>
        </w:numPr>
        <w:ind w:left="993" w:hanging="709"/>
        <w:jc w:val="left"/>
      </w:pPr>
      <w:r w:rsidRPr="00B43AC9">
        <w:t>Środki pieniężne</w:t>
      </w:r>
    </w:p>
    <w:p w14:paraId="41D7B730" w14:textId="77777777" w:rsidR="004445AC" w:rsidRPr="00C75EDE" w:rsidRDefault="00901361" w:rsidP="00FB4346">
      <w:pPr>
        <w:jc w:val="left"/>
      </w:pPr>
      <w:r w:rsidRPr="00C75EDE">
        <w:t xml:space="preserve">Krajowe środki pieniężne w kasie i na rachunkach bankowych wycenia się według wartości nominalnej. </w:t>
      </w:r>
    </w:p>
    <w:p w14:paraId="0B9B7858" w14:textId="77777777" w:rsidR="00F36EB7" w:rsidRPr="00C75EDE" w:rsidRDefault="00F36EB7" w:rsidP="00FB4346">
      <w:pPr>
        <w:jc w:val="left"/>
        <w:rPr>
          <w:highlight w:val="yellow"/>
        </w:rPr>
      </w:pPr>
      <w:r w:rsidRPr="00C75EDE">
        <w:rPr>
          <w:highlight w:val="yellow"/>
        </w:rPr>
        <w:t>Wyrażone w walutach obcych operacje gospodarcze ujmuje się w księgach rachunkowych na dzień ich przeprowadzenia - o ile odrębne przepisy dotyczące środków pochodzących z budżetu Unii Europejskiej i innych krajów Europejskiego Obszaru Gospodarczego oraz środków niepodlegających zwrotowi, pochodzących ze źródeł zagranicznych nie stanowią inaczej - odpowiednio po kursie:</w:t>
      </w:r>
    </w:p>
    <w:p w14:paraId="66647B84" w14:textId="1DB66D03" w:rsidR="00F36EB7" w:rsidRPr="00C75EDE" w:rsidRDefault="00DF01B5" w:rsidP="00DF01B5">
      <w:pPr>
        <w:jc w:val="left"/>
        <w:rPr>
          <w:highlight w:val="yellow"/>
        </w:rPr>
      </w:pPr>
      <w:r>
        <w:rPr>
          <w:highlight w:val="yellow"/>
        </w:rPr>
        <w:t xml:space="preserve"> - </w:t>
      </w:r>
      <w:r w:rsidR="00F36EB7" w:rsidRPr="00C75EDE">
        <w:rPr>
          <w:highlight w:val="yellow"/>
        </w:rPr>
        <w:t>faktycznie zastosowanym w tym dniu, wynikającym z charakteru operacji - w przypadku sprzedaży lub kupna walut oraz zapłaty należności lub zobowiązań,</w:t>
      </w:r>
    </w:p>
    <w:p w14:paraId="37E375F5" w14:textId="0E8E1BA2" w:rsidR="00F36EB7" w:rsidRPr="00C75EDE" w:rsidRDefault="00DF01B5" w:rsidP="00DF01B5">
      <w:pPr>
        <w:jc w:val="left"/>
        <w:rPr>
          <w:highlight w:val="yellow"/>
        </w:rPr>
      </w:pPr>
      <w:r>
        <w:rPr>
          <w:highlight w:val="yellow"/>
        </w:rPr>
        <w:t xml:space="preserve"> - </w:t>
      </w:r>
      <w:r w:rsidR="00F36EB7" w:rsidRPr="00C75EDE">
        <w:rPr>
          <w:highlight w:val="yellow"/>
        </w:rPr>
        <w:t>średnim ogłoszonym dla danej waluty przez Narodowy Bank Polski z dnia poprzedzającego ten dzień - w przypadku zapłaty należności lub zobowiązań, jeżeli nie jest zasadne zastosowanie kursu faktycznie zastosowanego w przypadku sprzedaży lub kupna walut oraz zapłaty należności lub zobowiązań, a także w przypadku pozostałych operacji.</w:t>
      </w:r>
    </w:p>
    <w:p w14:paraId="2C310D46" w14:textId="77777777" w:rsidR="00901361" w:rsidRPr="00C75EDE" w:rsidRDefault="00901361" w:rsidP="00FB4346">
      <w:pPr>
        <w:jc w:val="left"/>
      </w:pPr>
      <w:r w:rsidRPr="00C75EDE">
        <w:t xml:space="preserve">Na dzień bilansowy środki pieniężne wyrażone w walucie obcej wycenia się według średniego kursu </w:t>
      </w:r>
      <w:r w:rsidR="005755FE" w:rsidRPr="005755FE">
        <w:t>ogłoszon</w:t>
      </w:r>
      <w:r w:rsidR="005755FE">
        <w:t>ego</w:t>
      </w:r>
      <w:r w:rsidR="005755FE" w:rsidRPr="005755FE">
        <w:t xml:space="preserve"> dla danej waluty przez </w:t>
      </w:r>
      <w:r w:rsidRPr="00C75EDE">
        <w:t xml:space="preserve">NBP na ten dzień. </w:t>
      </w:r>
    </w:p>
    <w:p w14:paraId="70D70507" w14:textId="64E3A682" w:rsidR="00901361" w:rsidRPr="00C75EDE" w:rsidRDefault="00901361" w:rsidP="00FB4346">
      <w:pPr>
        <w:jc w:val="left"/>
      </w:pPr>
      <w:r w:rsidRPr="00C75EDE">
        <w:t xml:space="preserve">Ustalone na koniec roku obrotowego różnice kursowe wpływają na wynik finansowy </w:t>
      </w:r>
      <w:r w:rsidR="009B1799">
        <w:t>i są</w:t>
      </w:r>
      <w:r w:rsidR="009B1799" w:rsidRPr="00C75EDE">
        <w:t xml:space="preserve"> </w:t>
      </w:r>
      <w:r w:rsidRPr="00C75EDE">
        <w:t xml:space="preserve">odnoszone </w:t>
      </w:r>
      <w:r w:rsidR="005755FE" w:rsidRPr="005755FE">
        <w:t>na dobro przychodów lub w ciężar kosztów operacji finansowych</w:t>
      </w:r>
      <w:r w:rsidR="005755FE">
        <w:t>.</w:t>
      </w:r>
    </w:p>
    <w:p w14:paraId="03E8CC24" w14:textId="77777777" w:rsidR="004E660A" w:rsidRPr="00B43AC9" w:rsidRDefault="004E660A" w:rsidP="00FB4346">
      <w:pPr>
        <w:pStyle w:val="Nagwek1"/>
        <w:numPr>
          <w:ilvl w:val="1"/>
          <w:numId w:val="5"/>
        </w:numPr>
        <w:ind w:left="993" w:hanging="709"/>
        <w:jc w:val="left"/>
      </w:pPr>
      <w:r w:rsidRPr="00C063E8">
        <w:rPr>
          <w:highlight w:val="yellow"/>
        </w:rPr>
        <w:t>Udziały i akcje</w:t>
      </w:r>
      <w:r w:rsidRPr="00B43AC9">
        <w:t xml:space="preserve"> własne</w:t>
      </w:r>
    </w:p>
    <w:p w14:paraId="14EC3874" w14:textId="65D7DBAD" w:rsidR="004E660A" w:rsidRPr="00C75EDE" w:rsidRDefault="004E660A" w:rsidP="00FB4346">
      <w:pPr>
        <w:jc w:val="left"/>
      </w:pPr>
      <w:r>
        <w:t xml:space="preserve">Na dzień bilansowy </w:t>
      </w:r>
      <w:r w:rsidR="00824FCD" w:rsidRPr="00824FCD">
        <w:rPr>
          <w:highlight w:val="yellow"/>
        </w:rPr>
        <w:t>udziały/ akcje</w:t>
      </w:r>
      <w:r w:rsidRPr="00824FCD">
        <w:rPr>
          <w:highlight w:val="yellow"/>
        </w:rPr>
        <w:t xml:space="preserve"> własn</w:t>
      </w:r>
      <w:r w:rsidR="00B5322B">
        <w:rPr>
          <w:highlight w:val="yellow"/>
        </w:rPr>
        <w:t>e</w:t>
      </w:r>
      <w:r w:rsidRPr="00824FCD">
        <w:rPr>
          <w:highlight w:val="yellow"/>
        </w:rPr>
        <w:t xml:space="preserve"> </w:t>
      </w:r>
      <w:r w:rsidRPr="00C063E8">
        <w:t>wycenia się według ceny nabycia.</w:t>
      </w:r>
    </w:p>
    <w:p w14:paraId="453E7688" w14:textId="77777777" w:rsidR="00901361" w:rsidRPr="00B43AC9" w:rsidRDefault="00901361" w:rsidP="00FB4346">
      <w:pPr>
        <w:pStyle w:val="Nagwek1"/>
        <w:numPr>
          <w:ilvl w:val="1"/>
          <w:numId w:val="5"/>
        </w:numPr>
        <w:ind w:left="993" w:hanging="709"/>
        <w:jc w:val="left"/>
      </w:pPr>
      <w:r w:rsidRPr="00B43AC9">
        <w:t>Kapitały</w:t>
      </w:r>
    </w:p>
    <w:p w14:paraId="085628AF" w14:textId="3437CEA1" w:rsidR="00901361" w:rsidRPr="00C75EDE" w:rsidRDefault="00901361" w:rsidP="00FB4346">
      <w:pPr>
        <w:jc w:val="left"/>
      </w:pPr>
      <w:r w:rsidRPr="00C75EDE">
        <w:t xml:space="preserve">Kapitał zakładowy wykazuje się </w:t>
      </w:r>
      <w:bookmarkStart w:id="14" w:name="_Hlk107958484"/>
      <w:r w:rsidRPr="00C75EDE">
        <w:t xml:space="preserve">w wysokości określonej w </w:t>
      </w:r>
      <w:r w:rsidR="00B45CDC">
        <w:rPr>
          <w:highlight w:val="yellow"/>
        </w:rPr>
        <w:t>u</w:t>
      </w:r>
      <w:r w:rsidR="00B45CDC" w:rsidRPr="00D259EF">
        <w:rPr>
          <w:highlight w:val="yellow"/>
        </w:rPr>
        <w:t xml:space="preserve">mowie </w:t>
      </w:r>
      <w:r w:rsidR="005755FE" w:rsidRPr="00D259EF">
        <w:rPr>
          <w:highlight w:val="yellow"/>
        </w:rPr>
        <w:t>/</w:t>
      </w:r>
      <w:r w:rsidRPr="00D259EF">
        <w:rPr>
          <w:highlight w:val="yellow"/>
        </w:rPr>
        <w:t xml:space="preserve"> </w:t>
      </w:r>
      <w:r w:rsidR="00B45CDC">
        <w:rPr>
          <w:highlight w:val="yellow"/>
        </w:rPr>
        <w:t>s</w:t>
      </w:r>
      <w:r w:rsidR="00B45CDC" w:rsidRPr="00D259EF">
        <w:rPr>
          <w:highlight w:val="yellow"/>
        </w:rPr>
        <w:t xml:space="preserve">tatucie </w:t>
      </w:r>
      <w:r w:rsidR="005755FE" w:rsidRPr="00D259EF">
        <w:rPr>
          <w:highlight w:val="yellow"/>
        </w:rPr>
        <w:t>Spółki</w:t>
      </w:r>
      <w:r w:rsidR="005755FE">
        <w:t xml:space="preserve"> </w:t>
      </w:r>
      <w:r w:rsidRPr="00C75EDE">
        <w:t>i wpisanej w rejestrze sądowym</w:t>
      </w:r>
      <w:r w:rsidR="00B5322B">
        <w:t xml:space="preserve"> [</w:t>
      </w:r>
      <w:r w:rsidR="00B5322B" w:rsidRPr="00B5322B">
        <w:rPr>
          <w:highlight w:val="yellow"/>
        </w:rPr>
        <w:t>w przypadku spółek kapitałowych</w:t>
      </w:r>
      <w:r w:rsidR="00B5322B">
        <w:t>]</w:t>
      </w:r>
      <w:r w:rsidRPr="00C75EDE">
        <w:t xml:space="preserve">. </w:t>
      </w:r>
    </w:p>
    <w:p w14:paraId="07AE584C" w14:textId="77777777" w:rsidR="004162CD" w:rsidRDefault="00901361" w:rsidP="00FB4346">
      <w:pPr>
        <w:jc w:val="left"/>
      </w:pPr>
      <w:bookmarkStart w:id="15" w:name="_Hlk107958501"/>
      <w:bookmarkEnd w:id="14"/>
      <w:r w:rsidRPr="00C75EDE">
        <w:t xml:space="preserve">Kapitał zapasowy tworzony jest z odpisów z zysku </w:t>
      </w:r>
      <w:r w:rsidR="005755FE">
        <w:t>Jednostki</w:t>
      </w:r>
      <w:r w:rsidRPr="00C75EDE">
        <w:t xml:space="preserve">. </w:t>
      </w:r>
      <w:bookmarkStart w:id="16" w:name="_Hlk86489256"/>
      <w:bookmarkEnd w:id="15"/>
    </w:p>
    <w:p w14:paraId="3FBC17D1" w14:textId="7E13E2AB" w:rsidR="00901361" w:rsidRDefault="00901361" w:rsidP="00FB4346">
      <w:pPr>
        <w:jc w:val="left"/>
      </w:pPr>
      <w:r w:rsidRPr="00C75EDE">
        <w:rPr>
          <w:highlight w:val="yellow"/>
        </w:rPr>
        <w:t>Ponadto kapitał zapasow</w:t>
      </w:r>
      <w:r w:rsidR="00056E54">
        <w:rPr>
          <w:highlight w:val="yellow"/>
        </w:rPr>
        <w:t>y</w:t>
      </w:r>
      <w:r w:rsidRPr="00C75EDE">
        <w:rPr>
          <w:highlight w:val="yellow"/>
        </w:rPr>
        <w:t xml:space="preserve"> </w:t>
      </w:r>
      <w:r w:rsidR="00056E54">
        <w:rPr>
          <w:highlight w:val="yellow"/>
        </w:rPr>
        <w:t xml:space="preserve">tworzony jest z </w:t>
      </w:r>
      <w:r w:rsidR="004162CD">
        <w:rPr>
          <w:highlight w:val="yellow"/>
        </w:rPr>
        <w:t xml:space="preserve">agio, tj. </w:t>
      </w:r>
      <w:r w:rsidRPr="005755FE">
        <w:rPr>
          <w:highlight w:val="yellow"/>
        </w:rPr>
        <w:t>nadwyżk</w:t>
      </w:r>
      <w:r w:rsidR="00056E54">
        <w:rPr>
          <w:highlight w:val="yellow"/>
        </w:rPr>
        <w:t>i</w:t>
      </w:r>
      <w:r w:rsidRPr="005755FE">
        <w:rPr>
          <w:highlight w:val="yellow"/>
        </w:rPr>
        <w:t xml:space="preserve"> </w:t>
      </w:r>
      <w:r w:rsidR="005755FE" w:rsidRPr="00D259EF">
        <w:rPr>
          <w:highlight w:val="yellow"/>
        </w:rPr>
        <w:t>wartości emisji nad wartością nominalną akcji</w:t>
      </w:r>
      <w:r w:rsidRPr="005755FE">
        <w:rPr>
          <w:highlight w:val="yellow"/>
        </w:rPr>
        <w:t xml:space="preserve">, po potrąceniu </w:t>
      </w:r>
      <w:r w:rsidRPr="00C75EDE">
        <w:rPr>
          <w:highlight w:val="yellow"/>
        </w:rPr>
        <w:t>kosztów emisji</w:t>
      </w:r>
      <w:r w:rsidR="0096004C">
        <w:rPr>
          <w:highlight w:val="yellow"/>
        </w:rPr>
        <w:t xml:space="preserve"> nowych </w:t>
      </w:r>
      <w:r w:rsidR="0096004C" w:rsidRPr="004162CD">
        <w:rPr>
          <w:highlight w:val="yellow"/>
        </w:rPr>
        <w:t>akcji</w:t>
      </w:r>
      <w:r w:rsidR="004162CD" w:rsidRPr="004162CD">
        <w:rPr>
          <w:highlight w:val="yellow"/>
        </w:rPr>
        <w:t xml:space="preserve"> </w:t>
      </w:r>
      <w:r w:rsidR="004162CD" w:rsidRPr="004162CD">
        <w:rPr>
          <w:i/>
          <w:iCs/>
          <w:color w:val="FF0000"/>
          <w:highlight w:val="yellow"/>
        </w:rPr>
        <w:t>[S.A. i S.K.A.]</w:t>
      </w:r>
      <w:r w:rsidR="004162CD" w:rsidRPr="004162CD">
        <w:rPr>
          <w:highlight w:val="yellow"/>
        </w:rPr>
        <w:t xml:space="preserve"> / </w:t>
      </w:r>
      <w:r w:rsidR="004162CD">
        <w:rPr>
          <w:highlight w:val="yellow"/>
        </w:rPr>
        <w:t>n</w:t>
      </w:r>
      <w:r w:rsidR="004162CD" w:rsidRPr="004162CD">
        <w:rPr>
          <w:highlight w:val="yellow"/>
        </w:rPr>
        <w:t xml:space="preserve">adwyżki </w:t>
      </w:r>
      <w:r w:rsidR="004162CD">
        <w:rPr>
          <w:highlight w:val="yellow"/>
        </w:rPr>
        <w:t xml:space="preserve">ceny objęcia nowych udziałów nad ich </w:t>
      </w:r>
      <w:r w:rsidR="004162CD" w:rsidRPr="004162CD">
        <w:rPr>
          <w:highlight w:val="yellow"/>
        </w:rPr>
        <w:t>wartością nominalną</w:t>
      </w:r>
      <w:r w:rsidR="00571D7D">
        <w:t xml:space="preserve"> </w:t>
      </w:r>
      <w:r w:rsidR="00571D7D" w:rsidRPr="00571D7D">
        <w:rPr>
          <w:i/>
          <w:iCs/>
          <w:color w:val="FF0000"/>
          <w:highlight w:val="yellow"/>
        </w:rPr>
        <w:t>[sp. z o.o.]</w:t>
      </w:r>
      <w:r w:rsidR="004162CD" w:rsidRPr="00571D7D">
        <w:rPr>
          <w:highlight w:val="yellow"/>
        </w:rPr>
        <w:t>.</w:t>
      </w:r>
    </w:p>
    <w:p w14:paraId="182AB04C" w14:textId="05628AAE" w:rsidR="0044300F" w:rsidRDefault="0044300F" w:rsidP="00FB4346">
      <w:pPr>
        <w:jc w:val="left"/>
      </w:pPr>
      <w:r w:rsidRPr="00B11F99">
        <w:rPr>
          <w:highlight w:val="yellow"/>
        </w:rPr>
        <w:t xml:space="preserve">Otrzymane dopłaty wspólników do kapitału prezentowane są w pozycji A.IV. Pozostałe kapitały (fundusze) </w:t>
      </w:r>
      <w:r w:rsidRPr="004162CD">
        <w:rPr>
          <w:highlight w:val="yellow"/>
        </w:rPr>
        <w:t>rezerwowe</w:t>
      </w:r>
      <w:r w:rsidR="00B5322B" w:rsidRPr="004162CD">
        <w:rPr>
          <w:highlight w:val="yellow"/>
        </w:rPr>
        <w:t xml:space="preserve"> </w:t>
      </w:r>
      <w:r w:rsidR="00B5322B" w:rsidRPr="009E5938">
        <w:rPr>
          <w:i/>
          <w:iCs/>
          <w:color w:val="EE0000"/>
          <w:highlight w:val="yellow"/>
        </w:rPr>
        <w:t>[pamiętać, że ujmuje się go w odrębnej pozycji pasywów bilansu (kapitał rezerwowy z dopłat wspólników) i wykazuje się jako składnik kapitału własnego dopóty, dopóki ten nie zostanie użyty w sposób uzasadniający jego odpisanie</w:t>
      </w:r>
      <w:r w:rsidR="00B5322B" w:rsidRPr="009E5938">
        <w:rPr>
          <w:i/>
          <w:iCs/>
          <w:color w:val="EE0000"/>
        </w:rPr>
        <w:t>]</w:t>
      </w:r>
      <w:r w:rsidRPr="00B5322B">
        <w:t>.</w:t>
      </w:r>
    </w:p>
    <w:bookmarkEnd w:id="16"/>
    <w:p w14:paraId="2DEA7BAD" w14:textId="77777777" w:rsidR="00C94C57" w:rsidRPr="00C94C57" w:rsidRDefault="00C94C57" w:rsidP="00FB4346">
      <w:pPr>
        <w:pStyle w:val="Nagwek1"/>
        <w:numPr>
          <w:ilvl w:val="1"/>
          <w:numId w:val="5"/>
        </w:numPr>
        <w:ind w:left="993" w:hanging="709"/>
        <w:jc w:val="left"/>
      </w:pPr>
      <w:r w:rsidRPr="00C94C57">
        <w:t xml:space="preserve">Rozliczenia międzyokresowe kosztów czynne </w:t>
      </w:r>
    </w:p>
    <w:p w14:paraId="17977205" w14:textId="5444225E" w:rsidR="00C94C57" w:rsidRPr="00C94C57" w:rsidRDefault="00C94C57" w:rsidP="00FB4346">
      <w:pPr>
        <w:pStyle w:val="Nagwek"/>
        <w:tabs>
          <w:tab w:val="clear" w:pos="4536"/>
          <w:tab w:val="clear" w:pos="9072"/>
        </w:tabs>
        <w:spacing w:line="252" w:lineRule="auto"/>
        <w:jc w:val="left"/>
        <w:rPr>
          <w:rFonts w:cs="Calibri"/>
          <w:i/>
          <w:iCs/>
          <w:color w:val="FF0000"/>
          <w:sz w:val="22"/>
          <w:szCs w:val="22"/>
        </w:rPr>
      </w:pPr>
      <w:r w:rsidRPr="00C75EDE">
        <w:rPr>
          <w:rFonts w:cs="Calibri"/>
          <w:sz w:val="22"/>
          <w:szCs w:val="22"/>
        </w:rPr>
        <w:t xml:space="preserve">W przypadku ponoszenia wydatków dotyczących przyszłych okresów sprawozdawczych Spółka dokonuje czynnych rozliczeń międzyokresowych. Do kosztów rozliczanych w czasie zalicza się przede wszystkim </w:t>
      </w:r>
      <w:r w:rsidR="009B1799">
        <w:rPr>
          <w:rFonts w:cs="Calibri"/>
          <w:sz w:val="22"/>
          <w:szCs w:val="22"/>
          <w:highlight w:val="yellow"/>
        </w:rPr>
        <w:t>…</w:t>
      </w:r>
      <w:r w:rsidRPr="00C75EDE">
        <w:rPr>
          <w:rFonts w:cs="Calibri"/>
          <w:sz w:val="22"/>
          <w:szCs w:val="22"/>
          <w:highlight w:val="yellow"/>
        </w:rPr>
        <w:t>..............</w:t>
      </w:r>
      <w:r w:rsidRPr="00C75EDE">
        <w:rPr>
          <w:rFonts w:cs="Calibri"/>
          <w:sz w:val="22"/>
          <w:szCs w:val="22"/>
        </w:rPr>
        <w:t xml:space="preserve"> </w:t>
      </w:r>
      <w:r w:rsidRPr="00C75EDE">
        <w:rPr>
          <w:rFonts w:cs="Calibri"/>
          <w:i/>
          <w:iCs/>
          <w:color w:val="FF0000"/>
          <w:sz w:val="22"/>
          <w:szCs w:val="22"/>
        </w:rPr>
        <w:t xml:space="preserve">(wymienić </w:t>
      </w:r>
      <w:r>
        <w:rPr>
          <w:rFonts w:cs="Calibri"/>
          <w:i/>
          <w:iCs/>
          <w:color w:val="FF0000"/>
          <w:sz w:val="22"/>
          <w:szCs w:val="22"/>
        </w:rPr>
        <w:t xml:space="preserve">główne </w:t>
      </w:r>
      <w:r w:rsidRPr="00C75EDE">
        <w:rPr>
          <w:rFonts w:cs="Calibri"/>
          <w:i/>
          <w:iCs/>
          <w:color w:val="FF0000"/>
          <w:sz w:val="22"/>
          <w:szCs w:val="22"/>
        </w:rPr>
        <w:t>tytuły</w:t>
      </w:r>
      <w:r>
        <w:rPr>
          <w:rFonts w:cs="Calibri"/>
          <w:i/>
          <w:iCs/>
          <w:color w:val="FF0000"/>
          <w:sz w:val="22"/>
          <w:szCs w:val="22"/>
        </w:rPr>
        <w:t>, opisać zasady prezentacji</w:t>
      </w:r>
      <w:r w:rsidR="009B1799">
        <w:rPr>
          <w:rFonts w:cs="Calibri"/>
          <w:i/>
          <w:iCs/>
          <w:color w:val="FF0000"/>
          <w:sz w:val="22"/>
          <w:szCs w:val="22"/>
        </w:rPr>
        <w:t>,</w:t>
      </w:r>
      <w:r>
        <w:rPr>
          <w:rFonts w:cs="Calibri"/>
          <w:i/>
          <w:iCs/>
          <w:color w:val="FF0000"/>
          <w:sz w:val="22"/>
          <w:szCs w:val="22"/>
        </w:rPr>
        <w:t xml:space="preserve"> jeżeli np. w ten pozycji są prezentowane niezakończone prace rozwojowe, nakłady na wartości niematerialne i prawne </w:t>
      </w:r>
      <w:r w:rsidR="0049343A">
        <w:rPr>
          <w:rFonts w:cs="Calibri"/>
          <w:i/>
          <w:iCs/>
          <w:color w:val="FF0000"/>
          <w:sz w:val="22"/>
          <w:szCs w:val="22"/>
        </w:rPr>
        <w:br/>
      </w:r>
      <w:r>
        <w:rPr>
          <w:rFonts w:cs="Calibri"/>
          <w:i/>
          <w:iCs/>
          <w:color w:val="FF0000"/>
          <w:sz w:val="22"/>
          <w:szCs w:val="22"/>
        </w:rPr>
        <w:t>w tworzeniu; przy wycenie kontraktów długoterminowych – zalecamy dodatkowy opis)</w:t>
      </w:r>
      <w:r w:rsidRPr="00C75EDE">
        <w:rPr>
          <w:rFonts w:cs="Calibri"/>
          <w:i/>
          <w:iCs/>
          <w:color w:val="FF0000"/>
          <w:sz w:val="22"/>
          <w:szCs w:val="22"/>
        </w:rPr>
        <w:t xml:space="preserve">. </w:t>
      </w:r>
    </w:p>
    <w:p w14:paraId="27FDD8F3" w14:textId="77777777" w:rsidR="00901361" w:rsidRPr="00B43AC9" w:rsidRDefault="00C94C57" w:rsidP="00FB4346">
      <w:pPr>
        <w:pStyle w:val="Nagwek1"/>
        <w:numPr>
          <w:ilvl w:val="1"/>
          <w:numId w:val="5"/>
        </w:numPr>
        <w:ind w:left="993" w:hanging="709"/>
        <w:jc w:val="left"/>
      </w:pPr>
      <w:r>
        <w:lastRenderedPageBreak/>
        <w:t>R</w:t>
      </w:r>
      <w:r w:rsidRPr="00B43AC9">
        <w:t xml:space="preserve">ezerwy na zobowiązania </w:t>
      </w:r>
      <w:r>
        <w:t>i r</w:t>
      </w:r>
      <w:r w:rsidR="00901361" w:rsidRPr="00B43AC9">
        <w:t xml:space="preserve">ozliczenia międzyokresowe kosztów </w:t>
      </w:r>
      <w:r>
        <w:t>bierne</w:t>
      </w:r>
      <w:r w:rsidR="00901361" w:rsidRPr="00B43AC9">
        <w:t xml:space="preserve"> </w:t>
      </w:r>
    </w:p>
    <w:p w14:paraId="50789F6B" w14:textId="77777777" w:rsidR="00901361" w:rsidRPr="00C75EDE" w:rsidRDefault="00901361" w:rsidP="00FB4346">
      <w:pPr>
        <w:jc w:val="left"/>
        <w:rPr>
          <w:i/>
          <w:iCs/>
          <w:color w:val="FF0000"/>
        </w:rPr>
      </w:pPr>
      <w:r w:rsidRPr="00C75EDE">
        <w:t xml:space="preserve">Rezerwy tworzy się na zobowiązania w </w:t>
      </w:r>
      <w:r w:rsidR="00490536" w:rsidRPr="00C75EDE">
        <w:t>przypadku, gdy</w:t>
      </w:r>
      <w:r w:rsidRPr="00C75EDE">
        <w:t xml:space="preserve"> kwota lub termin zapłaty są niepewne, ich powstanie jest pewne lub o dużym stopniu prawdopodobieństwa oraz wynikają one z przeszłych zdarzeń i ich wiarygodny szacunek jest możliwy. </w:t>
      </w:r>
      <w:r w:rsidRPr="00D259EF">
        <w:rPr>
          <w:highlight w:val="yellow"/>
        </w:rPr>
        <w:t xml:space="preserve">W przypadku </w:t>
      </w:r>
      <w:r w:rsidR="009A2147" w:rsidRPr="00D259EF">
        <w:rPr>
          <w:highlight w:val="yellow"/>
        </w:rPr>
        <w:t xml:space="preserve">Jednostki dokonano </w:t>
      </w:r>
      <w:r w:rsidR="009A2147">
        <w:rPr>
          <w:highlight w:val="yellow"/>
        </w:rPr>
        <w:t xml:space="preserve">w okresie sprawozdawczym </w:t>
      </w:r>
      <w:r w:rsidR="009A2147" w:rsidRPr="00D259EF">
        <w:rPr>
          <w:highlight w:val="yellow"/>
        </w:rPr>
        <w:t xml:space="preserve">szacunku </w:t>
      </w:r>
      <w:r w:rsidRPr="00D259EF">
        <w:rPr>
          <w:highlight w:val="yellow"/>
        </w:rPr>
        <w:t>rezerw</w:t>
      </w:r>
      <w:r w:rsidRPr="00C75EDE">
        <w:t xml:space="preserve"> </w:t>
      </w:r>
      <w:r w:rsidRPr="00C75EDE">
        <w:rPr>
          <w:highlight w:val="yellow"/>
        </w:rPr>
        <w:t>na udzielone gwarancje i poręczenia, operacje kredytowe, skutki toczącego się postępowania sądowego</w:t>
      </w:r>
      <w:r w:rsidRPr="00C75EDE">
        <w:t xml:space="preserve">. </w:t>
      </w:r>
      <w:r w:rsidRPr="00C75EDE">
        <w:rPr>
          <w:i/>
          <w:iCs/>
          <w:color w:val="FF0000"/>
        </w:rPr>
        <w:t>(</w:t>
      </w:r>
      <w:r w:rsidR="00E60086" w:rsidRPr="00C75EDE">
        <w:rPr>
          <w:i/>
          <w:iCs/>
          <w:color w:val="FF0000"/>
        </w:rPr>
        <w:t xml:space="preserve">zweryfikować i </w:t>
      </w:r>
      <w:r w:rsidRPr="00C75EDE">
        <w:rPr>
          <w:i/>
          <w:iCs/>
          <w:color w:val="FF0000"/>
        </w:rPr>
        <w:t>wymieni</w:t>
      </w:r>
      <w:r w:rsidR="00E60086" w:rsidRPr="00C75EDE">
        <w:rPr>
          <w:i/>
          <w:iCs/>
          <w:color w:val="FF0000"/>
        </w:rPr>
        <w:t>ć</w:t>
      </w:r>
      <w:r w:rsidR="00785F23">
        <w:rPr>
          <w:i/>
          <w:iCs/>
          <w:color w:val="FF0000"/>
        </w:rPr>
        <w:t>; podać zastosowane metody szacunku oraz ich podstawę</w:t>
      </w:r>
      <w:r w:rsidRPr="00C75EDE">
        <w:rPr>
          <w:i/>
          <w:iCs/>
          <w:color w:val="FF0000"/>
        </w:rPr>
        <w:t>)</w:t>
      </w:r>
    </w:p>
    <w:p w14:paraId="3E88AE1A" w14:textId="77777777" w:rsidR="003E688D" w:rsidRDefault="00901361" w:rsidP="00FB4346">
      <w:pPr>
        <w:jc w:val="left"/>
      </w:pPr>
      <w:r w:rsidRPr="00C75EDE">
        <w:t>Spółka tworzy rezerwy na koszty w wysokości prawdopodobnych zobowiązań przypadających na bieżący okres sprawozdawczy</w:t>
      </w:r>
      <w:r w:rsidR="00F36EB7" w:rsidRPr="00C75EDE">
        <w:t>,</w:t>
      </w:r>
      <w:r w:rsidRPr="00C75EDE">
        <w:t xml:space="preserve"> wynikających ze świadczeń wykonanych na rzecz Spółki przez kontrahentów oraz z obowiązku wykonania związanych z bieżącą działalnością przyszłych świadczeń, których kwotę można oszacować, choć data powstania nie jest jeszcze znana. </w:t>
      </w:r>
    </w:p>
    <w:p w14:paraId="1C8BFA4F" w14:textId="77777777" w:rsidR="003E688D" w:rsidRDefault="003E688D" w:rsidP="00FB4346">
      <w:pPr>
        <w:jc w:val="left"/>
      </w:pPr>
      <w:r>
        <w:t xml:space="preserve">Na dzień bilansowy rezerwy wycenia się </w:t>
      </w:r>
      <w:r w:rsidRPr="003E688D">
        <w:t>w uzasadnionej, wiarygodnie oszacowanej wartości</w:t>
      </w:r>
      <w:r>
        <w:t>.</w:t>
      </w:r>
    </w:p>
    <w:p w14:paraId="410E5A87" w14:textId="002749CB" w:rsidR="00BE4C6E" w:rsidRDefault="00BE4C6E" w:rsidP="00FB4346">
      <w:pPr>
        <w:jc w:val="left"/>
      </w:pPr>
      <w:r w:rsidRPr="00C75EDE">
        <w:t xml:space="preserve">Rezerwy są tworzone w ciężar pozostałych kosztów operacyjnych, kosztów finansowych w zależności od okoliczności, </w:t>
      </w:r>
      <w:r w:rsidR="00C77B3D" w:rsidRPr="00C77B3D">
        <w:t>z którymi przyszłe zobowiązania się wiążą</w:t>
      </w:r>
      <w:r w:rsidRPr="00C75EDE">
        <w:t>.</w:t>
      </w:r>
    </w:p>
    <w:p w14:paraId="33D90F8F" w14:textId="77777777" w:rsidR="001462F2" w:rsidRDefault="001462F2" w:rsidP="00FB4346">
      <w:pPr>
        <w:jc w:val="left"/>
      </w:pPr>
      <w:r>
        <w:t xml:space="preserve">Rozwiązanie niewykorzystanych rezerw następuje na dzień, na który okazały się zbędne. </w:t>
      </w:r>
    </w:p>
    <w:p w14:paraId="32A034F4" w14:textId="12C6D8D8" w:rsidR="001462F2" w:rsidRPr="001462F2" w:rsidRDefault="00B11F99" w:rsidP="00FB4346">
      <w:pPr>
        <w:jc w:val="left"/>
      </w:pPr>
      <w:r w:rsidRPr="00B11F99">
        <w:t>Powstanie zobowiązania, na które uprzednio utworzono rezerwę, zmniejsza rezerwę</w:t>
      </w:r>
      <w:r w:rsidR="001462F2">
        <w:t>.</w:t>
      </w:r>
    </w:p>
    <w:p w14:paraId="5D9485DE" w14:textId="71799D20" w:rsidR="00B11F99" w:rsidRDefault="00901361" w:rsidP="00FB4346">
      <w:pPr>
        <w:jc w:val="left"/>
      </w:pPr>
      <w:r w:rsidRPr="00C75EDE">
        <w:t xml:space="preserve">Do rozliczeń międzyokresowych biernych zalicza się przede wszystkim </w:t>
      </w:r>
      <w:r w:rsidRPr="00C75EDE">
        <w:rPr>
          <w:highlight w:val="yellow"/>
        </w:rPr>
        <w:t>wartość wykonanych niezafakturowanych usług oraz dostaw, wartości usług</w:t>
      </w:r>
      <w:r w:rsidR="00592841" w:rsidRPr="00C75EDE">
        <w:rPr>
          <w:highlight w:val="yellow"/>
        </w:rPr>
        <w:t>,</w:t>
      </w:r>
      <w:r w:rsidRPr="00C75EDE">
        <w:rPr>
          <w:highlight w:val="yellow"/>
        </w:rPr>
        <w:t xml:space="preserve"> które zostaną wykonane w przyszłości </w:t>
      </w:r>
      <w:r w:rsidR="009B1799">
        <w:rPr>
          <w:highlight w:val="yellow"/>
        </w:rPr>
        <w:br/>
      </w:r>
      <w:r w:rsidRPr="00C75EDE">
        <w:rPr>
          <w:highlight w:val="yellow"/>
        </w:rPr>
        <w:t xml:space="preserve">a dotyczą bieżącego okresu obrotowego oraz rezerwy </w:t>
      </w:r>
      <w:r w:rsidR="00592841" w:rsidRPr="00C75EDE">
        <w:rPr>
          <w:highlight w:val="yellow"/>
        </w:rPr>
        <w:t xml:space="preserve">na </w:t>
      </w:r>
      <w:r w:rsidRPr="00C75EDE">
        <w:rPr>
          <w:highlight w:val="yellow"/>
        </w:rPr>
        <w:t>niewykorzystane urlopy pracownicze.</w:t>
      </w:r>
      <w:r w:rsidRPr="00C75EDE">
        <w:t xml:space="preserve"> </w:t>
      </w:r>
      <w:r w:rsidRPr="00C75EDE">
        <w:rPr>
          <w:i/>
          <w:iCs/>
          <w:color w:val="FF0000"/>
        </w:rPr>
        <w:t>(</w:t>
      </w:r>
      <w:r w:rsidR="00C94C57" w:rsidRPr="00C75EDE">
        <w:rPr>
          <w:rFonts w:cs="Calibri"/>
          <w:i/>
          <w:iCs/>
          <w:color w:val="FF0000"/>
          <w:szCs w:val="22"/>
        </w:rPr>
        <w:t>zweryfikować i wymienić</w:t>
      </w:r>
      <w:r w:rsidR="00C94C57">
        <w:rPr>
          <w:rFonts w:cs="Calibri"/>
          <w:i/>
          <w:iCs/>
          <w:color w:val="FF0000"/>
          <w:szCs w:val="22"/>
        </w:rPr>
        <w:t>, opisać stosowane indywidualne zasady szacunku; przy wycenie kontraktów długoterminowych – osobny akapit</w:t>
      </w:r>
      <w:r w:rsidR="00592841" w:rsidRPr="00C75EDE">
        <w:rPr>
          <w:i/>
          <w:iCs/>
          <w:color w:val="FF0000"/>
        </w:rPr>
        <w:t>)</w:t>
      </w:r>
      <w:r w:rsidR="009B1799">
        <w:t xml:space="preserve">. </w:t>
      </w:r>
    </w:p>
    <w:p w14:paraId="23D57E62" w14:textId="05F39E63" w:rsidR="001462F2" w:rsidRDefault="001462F2" w:rsidP="00FB4346">
      <w:pPr>
        <w:jc w:val="left"/>
      </w:pPr>
      <w:r w:rsidRPr="00B11F99">
        <w:rPr>
          <w:highlight w:val="yellow"/>
        </w:rPr>
        <w:t>Rezerwy na świadczenia pracownicze w</w:t>
      </w:r>
      <w:r w:rsidR="009B1799" w:rsidRPr="00B11F99">
        <w:rPr>
          <w:highlight w:val="yellow"/>
        </w:rPr>
        <w:t xml:space="preserve"> sprawozdaniu finansowym wykaz</w:t>
      </w:r>
      <w:r w:rsidRPr="001462F2">
        <w:rPr>
          <w:highlight w:val="yellow"/>
        </w:rPr>
        <w:t>ywane są</w:t>
      </w:r>
      <w:r w:rsidR="009B1799" w:rsidRPr="00B11F99">
        <w:rPr>
          <w:highlight w:val="yellow"/>
        </w:rPr>
        <w:t xml:space="preserve"> w pozycji „rezerw”.</w:t>
      </w:r>
      <w:r w:rsidRPr="00B11F99">
        <w:rPr>
          <w:highlight w:val="yellow"/>
        </w:rPr>
        <w:t xml:space="preserve"> </w:t>
      </w:r>
    </w:p>
    <w:p w14:paraId="7220723C" w14:textId="6FE1110D" w:rsidR="000D12E1" w:rsidRPr="00E858B8" w:rsidRDefault="000D12E1" w:rsidP="00FB4346">
      <w:pPr>
        <w:jc w:val="left"/>
        <w:rPr>
          <w:rFonts w:cs="Arial"/>
        </w:rPr>
      </w:pPr>
      <w:r w:rsidRPr="000D12E1">
        <w:rPr>
          <w:rFonts w:cs="Arial"/>
        </w:rPr>
        <w:t>Zobowiązania ujęte jako bierne rozliczenia międzyokresowe zmniejszają koszty okresu sprawozdawczego, w którym stwierdzono, że zobowiązania te nie powstały.</w:t>
      </w:r>
    </w:p>
    <w:p w14:paraId="30AE0B9D" w14:textId="7C485C58" w:rsidR="000B33BA" w:rsidRDefault="000B33BA" w:rsidP="00FB4346">
      <w:pPr>
        <w:jc w:val="left"/>
      </w:pPr>
      <w:r w:rsidRPr="000B33BA">
        <w:rPr>
          <w:highlight w:val="yellow"/>
        </w:rPr>
        <w:t>Z uwagi na przepisy o rękojmi oraz okres udzielanej gwarancji na oferowane produkty / usługi</w:t>
      </w:r>
      <w:r w:rsidR="00785F23" w:rsidRPr="000B33BA">
        <w:rPr>
          <w:highlight w:val="yellow"/>
        </w:rPr>
        <w:t xml:space="preserve"> </w:t>
      </w:r>
      <w:r w:rsidRPr="000B33BA">
        <w:rPr>
          <w:highlight w:val="yellow"/>
        </w:rPr>
        <w:t>Jednostka tworzy rezerwę na ewentualne koszty napraw gwarancyjnych. Jako podstawę szacunku przyjęto</w:t>
      </w:r>
      <w:r>
        <w:t xml:space="preserve"> </w:t>
      </w:r>
      <w:r w:rsidRPr="00C75EDE">
        <w:rPr>
          <w:i/>
          <w:iCs/>
          <w:color w:val="FF0000"/>
        </w:rPr>
        <w:t>(</w:t>
      </w:r>
      <w:r>
        <w:rPr>
          <w:i/>
          <w:iCs/>
          <w:color w:val="FF0000"/>
        </w:rPr>
        <w:t>podać zastosowane metody szacunku oraz ich podstawę; w przypadku odstąpienia od szacunku rezerwy na naprawy gwarancyjne w sytuacji gdy na Jednostce ciąży obowiązek wynikający z przepisów o rękojmi lub z udzielonej gwarancji</w:t>
      </w:r>
      <w:r w:rsidRPr="00C75EDE">
        <w:rPr>
          <w:i/>
          <w:iCs/>
          <w:color w:val="FF0000"/>
        </w:rPr>
        <w:t>)</w:t>
      </w:r>
    </w:p>
    <w:p w14:paraId="20004C05" w14:textId="77777777" w:rsidR="00901361" w:rsidRPr="00B43AC9" w:rsidRDefault="00901361" w:rsidP="00FB4346">
      <w:pPr>
        <w:pStyle w:val="Nagwek1"/>
        <w:numPr>
          <w:ilvl w:val="1"/>
          <w:numId w:val="5"/>
        </w:numPr>
        <w:ind w:left="993" w:hanging="709"/>
        <w:jc w:val="left"/>
      </w:pPr>
      <w:bookmarkStart w:id="17" w:name="_Hlk107958587"/>
      <w:r w:rsidRPr="00B43AC9">
        <w:t>Rozliczenia międzyokresowe przychodów</w:t>
      </w:r>
    </w:p>
    <w:p w14:paraId="46712851" w14:textId="49CE7491" w:rsidR="00901361" w:rsidRDefault="00901361" w:rsidP="00FB4346">
      <w:pPr>
        <w:jc w:val="left"/>
      </w:pPr>
      <w:r w:rsidRPr="00C75EDE">
        <w:t>W przypadku Spółki rozliczenia międzyokresowe przychodów obejmują w szczególności</w:t>
      </w:r>
      <w:r w:rsidR="00F36EB7" w:rsidRPr="00C75EDE">
        <w:t xml:space="preserve"> </w:t>
      </w:r>
      <w:r w:rsidRPr="00C75EDE">
        <w:rPr>
          <w:highlight w:val="yellow"/>
        </w:rPr>
        <w:t>r</w:t>
      </w:r>
      <w:r w:rsidR="007559CF" w:rsidRPr="00C75EDE">
        <w:rPr>
          <w:highlight w:val="yellow"/>
        </w:rPr>
        <w:t xml:space="preserve">ównowartość otrzymanych </w:t>
      </w:r>
      <w:r w:rsidR="009E4327">
        <w:rPr>
          <w:highlight w:val="yellow"/>
        </w:rPr>
        <w:t>środków</w:t>
      </w:r>
      <w:r w:rsidRPr="00C75EDE">
        <w:rPr>
          <w:highlight w:val="yellow"/>
        </w:rPr>
        <w:t xml:space="preserve"> z tytułu świadczeń, których wykonanie nastąpi w przyszłych okresach sprawozdawczych, otrzymane nieodpłatnie wartości niematerialne i prawne oraz środki trwałe w części </w:t>
      </w:r>
      <w:r w:rsidR="00490536" w:rsidRPr="00C75EDE">
        <w:rPr>
          <w:highlight w:val="yellow"/>
        </w:rPr>
        <w:t>niepokrytej</w:t>
      </w:r>
      <w:r w:rsidRPr="00C75EDE">
        <w:rPr>
          <w:highlight w:val="yellow"/>
        </w:rPr>
        <w:t xml:space="preserve"> odpisami amortyzacyjnymi oraz ujemną wartość firmy</w:t>
      </w:r>
      <w:r w:rsidRPr="00C75EDE">
        <w:t xml:space="preserve">. </w:t>
      </w:r>
      <w:r w:rsidRPr="00C75EDE">
        <w:rPr>
          <w:i/>
          <w:iCs/>
          <w:color w:val="FF0000"/>
        </w:rPr>
        <w:t>(</w:t>
      </w:r>
      <w:r w:rsidR="00F36EB7" w:rsidRPr="00C75EDE">
        <w:rPr>
          <w:i/>
          <w:iCs/>
          <w:color w:val="FF0000"/>
        </w:rPr>
        <w:t>zweryfikować</w:t>
      </w:r>
      <w:r w:rsidR="00592841" w:rsidRPr="00C75EDE">
        <w:rPr>
          <w:i/>
          <w:iCs/>
          <w:color w:val="FF0000"/>
        </w:rPr>
        <w:t xml:space="preserve"> i</w:t>
      </w:r>
      <w:r w:rsidR="00F36EB7" w:rsidRPr="00C75EDE">
        <w:rPr>
          <w:i/>
          <w:iCs/>
          <w:color w:val="FF0000"/>
        </w:rPr>
        <w:t> </w:t>
      </w:r>
      <w:r w:rsidR="00592841" w:rsidRPr="00C75EDE">
        <w:rPr>
          <w:i/>
          <w:iCs/>
          <w:color w:val="FF0000"/>
        </w:rPr>
        <w:t>wymienić</w:t>
      </w:r>
      <w:r w:rsidRPr="00C75EDE">
        <w:rPr>
          <w:i/>
          <w:iCs/>
          <w:color w:val="FF0000"/>
        </w:rPr>
        <w:t>)</w:t>
      </w:r>
      <w:r w:rsidRPr="00C75EDE">
        <w:t xml:space="preserve"> </w:t>
      </w:r>
    </w:p>
    <w:p w14:paraId="2385CD5E" w14:textId="77303363" w:rsidR="001462F2" w:rsidRDefault="001462F2" w:rsidP="00FB4346">
      <w:pPr>
        <w:jc w:val="left"/>
      </w:pPr>
      <w:r w:rsidRPr="00B11F99">
        <w:rPr>
          <w:highlight w:val="yellow"/>
        </w:rPr>
        <w:t xml:space="preserve">Dotacje ujmowane są wyłącznie wówczas, gdy istnieje wystarczająca pewność, że Spółka spełni warunki związane z daną dotacją oraz że dana dotacja zostanie faktycznie otrzymana. Dotacja dotycząca danej pozycji kosztowej jest ujmowana </w:t>
      </w:r>
      <w:r w:rsidR="00B11F99">
        <w:rPr>
          <w:highlight w:val="yellow"/>
        </w:rPr>
        <w:t>na dobro</w:t>
      </w:r>
      <w:r w:rsidRPr="00B11F99">
        <w:rPr>
          <w:highlight w:val="yellow"/>
        </w:rPr>
        <w:t xml:space="preserve"> przych</w:t>
      </w:r>
      <w:r w:rsidR="00B11F99">
        <w:rPr>
          <w:highlight w:val="yellow"/>
        </w:rPr>
        <w:t>odów</w:t>
      </w:r>
      <w:r w:rsidRPr="00B11F99">
        <w:rPr>
          <w:highlight w:val="yellow"/>
        </w:rPr>
        <w:t xml:space="preserve"> w sposób współmierny do kosztów, które dotacja ta ma w zamierzeniu kompensować. Dotacja finansująca składnik aktywów </w:t>
      </w:r>
      <w:r w:rsidRPr="00B11F99">
        <w:rPr>
          <w:highlight w:val="yellow"/>
        </w:rPr>
        <w:lastRenderedPageBreak/>
        <w:t xml:space="preserve">jest stopniowo ujmowana w </w:t>
      </w:r>
      <w:r>
        <w:rPr>
          <w:highlight w:val="yellow"/>
        </w:rPr>
        <w:t>rachunku zysków i strat</w:t>
      </w:r>
      <w:r w:rsidRPr="00B11F99">
        <w:rPr>
          <w:highlight w:val="yellow"/>
        </w:rPr>
        <w:t xml:space="preserve"> jako przychód na przestrzeni okresów proporcjonalnie do odpisów amortyzacyjnych dokonywanych od tego składnika aktywów.</w:t>
      </w:r>
    </w:p>
    <w:p w14:paraId="135324E5" w14:textId="7F0B9D24" w:rsidR="00B11F99" w:rsidRPr="00B11F99" w:rsidRDefault="00B11F99" w:rsidP="00FB4346">
      <w:pPr>
        <w:jc w:val="left"/>
        <w:rPr>
          <w:highlight w:val="yellow"/>
        </w:rPr>
      </w:pPr>
      <w:r w:rsidRPr="00B11F99">
        <w:rPr>
          <w:highlight w:val="yellow"/>
        </w:rPr>
        <w:t xml:space="preserve">W przypadku dokonywania opłat (wynagrodzenia) z tytułu pozyskania finansowania w formie dotacji na środki trwałe lub wartości niematerialne i prawne, w tym na prace rozwojowe, kwoty te zmniejszają kwotę dotacji otrzymanej, </w:t>
      </w:r>
      <w:r w:rsidR="0082295F">
        <w:rPr>
          <w:highlight w:val="yellow"/>
        </w:rPr>
        <w:t>rozliczanej</w:t>
      </w:r>
      <w:r w:rsidRPr="00B11F99">
        <w:rPr>
          <w:highlight w:val="yellow"/>
        </w:rPr>
        <w:t xml:space="preserve"> stopniowo </w:t>
      </w:r>
      <w:r w:rsidR="0082295F">
        <w:rPr>
          <w:highlight w:val="yellow"/>
        </w:rPr>
        <w:t xml:space="preserve">w </w:t>
      </w:r>
      <w:r w:rsidRPr="00B11F99">
        <w:rPr>
          <w:highlight w:val="yellow"/>
        </w:rPr>
        <w:t>pozostałe przychody operacyjne, równolegle do odpisów amortyzacyjnych lub umorzeniowych od środków trwałych lub kosztów prac rozwojowych sfinansowanych z tych źródeł.</w:t>
      </w:r>
    </w:p>
    <w:bookmarkEnd w:id="17"/>
    <w:p w14:paraId="7E2496B8" w14:textId="77777777" w:rsidR="00901361" w:rsidRPr="00B43AC9" w:rsidRDefault="00901361" w:rsidP="00FB4346">
      <w:pPr>
        <w:pStyle w:val="Nagwek1"/>
        <w:numPr>
          <w:ilvl w:val="1"/>
          <w:numId w:val="5"/>
        </w:numPr>
        <w:ind w:left="993" w:hanging="709"/>
        <w:jc w:val="left"/>
      </w:pPr>
      <w:r w:rsidRPr="00B43AC9">
        <w:t>Rezerwa i aktywa z tytułu odroczonego podatku dochodowego</w:t>
      </w:r>
    </w:p>
    <w:p w14:paraId="5CB7153E" w14:textId="77777777" w:rsidR="00E21B1A" w:rsidRDefault="00CC7C83" w:rsidP="00FB4346">
      <w:pPr>
        <w:pStyle w:val="Nagwek"/>
        <w:tabs>
          <w:tab w:val="clear" w:pos="4536"/>
          <w:tab w:val="clear" w:pos="9072"/>
        </w:tabs>
        <w:spacing w:line="252" w:lineRule="auto"/>
        <w:jc w:val="left"/>
        <w:rPr>
          <w:rFonts w:cs="Calibri"/>
          <w:sz w:val="22"/>
          <w:szCs w:val="22"/>
        </w:rPr>
      </w:pPr>
      <w:r>
        <w:rPr>
          <w:rFonts w:cs="Calibri"/>
          <w:sz w:val="22"/>
          <w:szCs w:val="22"/>
          <w:highlight w:val="yellow"/>
        </w:rPr>
        <w:t>J</w:t>
      </w:r>
      <w:r w:rsidR="00E21B1A">
        <w:rPr>
          <w:rFonts w:cs="Calibri"/>
          <w:sz w:val="22"/>
          <w:szCs w:val="22"/>
          <w:highlight w:val="yellow"/>
        </w:rPr>
        <w:t xml:space="preserve">ednostka stosuje uproszczenie przewidziane w art. 37 ust. 10 ustawy o rachunkowości i </w:t>
      </w:r>
      <w:r>
        <w:rPr>
          <w:rFonts w:cs="Calibri"/>
          <w:sz w:val="22"/>
          <w:szCs w:val="22"/>
          <w:highlight w:val="yellow"/>
        </w:rPr>
        <w:t xml:space="preserve">odstąpiła od </w:t>
      </w:r>
      <w:r w:rsidR="00E21B1A" w:rsidRPr="00E21B1A">
        <w:rPr>
          <w:rFonts w:cs="Calibri"/>
          <w:sz w:val="22"/>
          <w:szCs w:val="22"/>
          <w:highlight w:val="yellow"/>
        </w:rPr>
        <w:t>ustalania aktywów i rezerw z tytułu odroczonego podatku dochodowego.</w:t>
      </w:r>
      <w:r w:rsidR="00E21B1A" w:rsidRPr="00E21B1A">
        <w:rPr>
          <w:rFonts w:cs="Calibri"/>
          <w:i/>
          <w:iCs/>
          <w:color w:val="FF0000"/>
          <w:sz w:val="22"/>
          <w:szCs w:val="22"/>
        </w:rPr>
        <w:t xml:space="preserve"> </w:t>
      </w:r>
      <w:r w:rsidR="00BE4C6E">
        <w:rPr>
          <w:rFonts w:cs="Calibri"/>
          <w:i/>
          <w:iCs/>
          <w:color w:val="FF0000"/>
          <w:sz w:val="22"/>
          <w:szCs w:val="22"/>
        </w:rPr>
        <w:t>(</w:t>
      </w:r>
      <w:r w:rsidR="00E21B1A">
        <w:rPr>
          <w:rFonts w:cs="Calibri"/>
          <w:i/>
          <w:iCs/>
          <w:color w:val="FF0000"/>
          <w:sz w:val="22"/>
          <w:szCs w:val="22"/>
        </w:rPr>
        <w:t>Lub poniższe akapity)</w:t>
      </w:r>
    </w:p>
    <w:p w14:paraId="76B6C3DC" w14:textId="77777777" w:rsidR="00901361" w:rsidRPr="00C75EDE" w:rsidRDefault="00E21B1A" w:rsidP="00FB4346">
      <w:pPr>
        <w:pStyle w:val="Nagwek"/>
        <w:tabs>
          <w:tab w:val="clear" w:pos="4536"/>
          <w:tab w:val="clear" w:pos="9072"/>
        </w:tabs>
        <w:spacing w:line="252" w:lineRule="auto"/>
        <w:jc w:val="left"/>
        <w:rPr>
          <w:rFonts w:cs="Calibri"/>
          <w:sz w:val="22"/>
          <w:szCs w:val="22"/>
          <w:highlight w:val="yellow"/>
        </w:rPr>
      </w:pPr>
      <w:r>
        <w:rPr>
          <w:rFonts w:cs="Calibri"/>
          <w:sz w:val="22"/>
          <w:szCs w:val="22"/>
          <w:highlight w:val="yellow"/>
        </w:rPr>
        <w:t xml:space="preserve"> </w:t>
      </w:r>
      <w:r w:rsidR="00901361" w:rsidRPr="00C75EDE">
        <w:rPr>
          <w:rFonts w:cs="Calibri"/>
          <w:sz w:val="22"/>
          <w:szCs w:val="22"/>
          <w:highlight w:val="yellow"/>
        </w:rPr>
        <w:t>W związku z przejściowymi różnicami między wykazywaną w księgach rachunkowych wartością aktywów i pasywów</w:t>
      </w:r>
      <w:r w:rsidR="00CC7C83">
        <w:rPr>
          <w:rFonts w:cs="Calibri"/>
          <w:sz w:val="22"/>
          <w:szCs w:val="22"/>
          <w:highlight w:val="yellow"/>
        </w:rPr>
        <w:t>,</w:t>
      </w:r>
      <w:r w:rsidR="00901361" w:rsidRPr="00C75EDE">
        <w:rPr>
          <w:rFonts w:cs="Calibri"/>
          <w:sz w:val="22"/>
          <w:szCs w:val="22"/>
          <w:highlight w:val="yellow"/>
        </w:rPr>
        <w:t xml:space="preserve"> a ich wartością podatkową oraz </w:t>
      </w:r>
      <w:r w:rsidR="00CC7C83">
        <w:rPr>
          <w:rFonts w:cs="Calibri"/>
          <w:sz w:val="22"/>
          <w:szCs w:val="22"/>
          <w:highlight w:val="yellow"/>
        </w:rPr>
        <w:t xml:space="preserve">możliwymi do odliczenia </w:t>
      </w:r>
      <w:r w:rsidR="00CC7C83" w:rsidRPr="00C75EDE">
        <w:rPr>
          <w:rFonts w:cs="Calibri"/>
          <w:sz w:val="22"/>
          <w:szCs w:val="22"/>
          <w:highlight w:val="yellow"/>
        </w:rPr>
        <w:t xml:space="preserve">w przyszłości </w:t>
      </w:r>
      <w:r w:rsidR="00901361" w:rsidRPr="00C75EDE">
        <w:rPr>
          <w:rFonts w:cs="Calibri"/>
          <w:sz w:val="22"/>
          <w:szCs w:val="22"/>
          <w:highlight w:val="yellow"/>
        </w:rPr>
        <w:t>strat</w:t>
      </w:r>
      <w:r w:rsidR="00CC7C83">
        <w:rPr>
          <w:rFonts w:cs="Calibri"/>
          <w:sz w:val="22"/>
          <w:szCs w:val="22"/>
          <w:highlight w:val="yellow"/>
        </w:rPr>
        <w:t>ami</w:t>
      </w:r>
      <w:r w:rsidR="00901361" w:rsidRPr="00C75EDE">
        <w:rPr>
          <w:rFonts w:cs="Calibri"/>
          <w:sz w:val="22"/>
          <w:szCs w:val="22"/>
          <w:highlight w:val="yellow"/>
        </w:rPr>
        <w:t xml:space="preserve">, </w:t>
      </w:r>
      <w:r w:rsidR="00B45CDC">
        <w:rPr>
          <w:rFonts w:cs="Calibri"/>
          <w:sz w:val="22"/>
          <w:szCs w:val="22"/>
          <w:highlight w:val="yellow"/>
        </w:rPr>
        <w:t>J</w:t>
      </w:r>
      <w:r w:rsidR="00901361" w:rsidRPr="00C75EDE">
        <w:rPr>
          <w:rFonts w:cs="Calibri"/>
          <w:sz w:val="22"/>
          <w:szCs w:val="22"/>
          <w:highlight w:val="yellow"/>
        </w:rPr>
        <w:t>ednostka tworzy rezerwę i ustala aktywa z tytułu odroczonego podatku dochodowego.</w:t>
      </w:r>
    </w:p>
    <w:p w14:paraId="5C84D50B" w14:textId="77777777" w:rsidR="00901361" w:rsidRPr="00C75EDE" w:rsidRDefault="00901361" w:rsidP="00FB4346">
      <w:pPr>
        <w:pStyle w:val="Nagwek"/>
        <w:tabs>
          <w:tab w:val="clear" w:pos="4536"/>
          <w:tab w:val="clear" w:pos="9072"/>
        </w:tabs>
        <w:spacing w:line="252" w:lineRule="auto"/>
        <w:jc w:val="left"/>
        <w:rPr>
          <w:rFonts w:cs="Calibri"/>
          <w:sz w:val="22"/>
          <w:szCs w:val="22"/>
          <w:highlight w:val="yellow"/>
        </w:rPr>
      </w:pPr>
      <w:r w:rsidRPr="00C75EDE">
        <w:rPr>
          <w:rFonts w:cs="Calibri"/>
          <w:sz w:val="22"/>
          <w:szCs w:val="22"/>
          <w:highlight w:val="yellow"/>
        </w:rPr>
        <w:t>Aktywa z tytułu odroczonego podatku dochodowego ustala się w wysokości kwoty przewidzianej w</w:t>
      </w:r>
      <w:r w:rsidR="00F36EB7" w:rsidRPr="00C75EDE">
        <w:rPr>
          <w:rFonts w:cs="Calibri"/>
          <w:sz w:val="22"/>
          <w:szCs w:val="22"/>
          <w:highlight w:val="yellow"/>
        </w:rPr>
        <w:t> </w:t>
      </w:r>
      <w:r w:rsidRPr="00C75EDE">
        <w:rPr>
          <w:rFonts w:cs="Calibri"/>
          <w:sz w:val="22"/>
          <w:szCs w:val="22"/>
          <w:highlight w:val="yellow"/>
        </w:rPr>
        <w:t>przyszłości do odliczenia od podatku dochodowego, w związku z ujemnymi różnicami przejściowymi, które spowodują w przyszłości zmniejszenie podstawy obliczenia podatku dochodowego oraz straty podatkowej możliwej do odliczenia ustalonej</w:t>
      </w:r>
      <w:r w:rsidR="00CC7C83">
        <w:rPr>
          <w:rFonts w:cs="Calibri"/>
          <w:sz w:val="22"/>
          <w:szCs w:val="22"/>
          <w:highlight w:val="yellow"/>
        </w:rPr>
        <w:t>,</w:t>
      </w:r>
      <w:r w:rsidRPr="00C75EDE">
        <w:rPr>
          <w:rFonts w:cs="Calibri"/>
          <w:sz w:val="22"/>
          <w:szCs w:val="22"/>
          <w:highlight w:val="yellow"/>
        </w:rPr>
        <w:t xml:space="preserve"> przy zachowaniu zasady ostrożności.</w:t>
      </w:r>
    </w:p>
    <w:p w14:paraId="6EEDE63A" w14:textId="77777777" w:rsidR="00901361" w:rsidRPr="00C75EDE" w:rsidRDefault="00901361" w:rsidP="00FB4346">
      <w:pPr>
        <w:pStyle w:val="Nagwek"/>
        <w:tabs>
          <w:tab w:val="clear" w:pos="4536"/>
          <w:tab w:val="clear" w:pos="9072"/>
        </w:tabs>
        <w:spacing w:line="252" w:lineRule="auto"/>
        <w:jc w:val="left"/>
        <w:rPr>
          <w:rFonts w:cs="Calibri"/>
          <w:sz w:val="22"/>
          <w:szCs w:val="22"/>
          <w:highlight w:val="yellow"/>
        </w:rPr>
      </w:pPr>
      <w:r w:rsidRPr="00C75EDE">
        <w:rPr>
          <w:rFonts w:cs="Calibri"/>
          <w:sz w:val="22"/>
          <w:szCs w:val="22"/>
          <w:highlight w:val="yellow"/>
        </w:rPr>
        <w:t xml:space="preserve">Rezerwę z tytułu odroczonego podatku dochodowego tworzy się w wysokości kwoty podatku dochodowego, wymagającej w przyszłości zapłaty, w związku z występowaniem dodatnich różnic przejściowych, to jest różnic, które spowodują zwiększenie podstawy obliczenia podatku dochodowego w przyszłości. </w:t>
      </w:r>
    </w:p>
    <w:p w14:paraId="37A63A1A" w14:textId="27AE293A" w:rsidR="00901361" w:rsidRDefault="00901361" w:rsidP="00FB4346">
      <w:pPr>
        <w:pStyle w:val="Nagwek"/>
        <w:tabs>
          <w:tab w:val="clear" w:pos="4536"/>
          <w:tab w:val="clear" w:pos="9072"/>
        </w:tabs>
        <w:spacing w:line="252" w:lineRule="auto"/>
        <w:jc w:val="left"/>
        <w:rPr>
          <w:rFonts w:cs="Calibri"/>
          <w:sz w:val="22"/>
          <w:szCs w:val="22"/>
        </w:rPr>
      </w:pPr>
      <w:r w:rsidRPr="00C75EDE">
        <w:rPr>
          <w:rFonts w:cs="Calibri"/>
          <w:sz w:val="22"/>
          <w:szCs w:val="22"/>
          <w:highlight w:val="yellow"/>
        </w:rPr>
        <w:t>Wysokość rezerwy i aktywów z tytułu odroczonego podatku dochodowego ustala się przy uwzględnieniu stawek podatku dochodowego obowiązujących w roku powstania obowiązku podatkowego.</w:t>
      </w:r>
      <w:r w:rsidRPr="00C75EDE">
        <w:rPr>
          <w:rFonts w:cs="Calibri"/>
          <w:sz w:val="22"/>
          <w:szCs w:val="22"/>
        </w:rPr>
        <w:t xml:space="preserve">  </w:t>
      </w:r>
    </w:p>
    <w:p w14:paraId="5F70590E" w14:textId="4F7CA033" w:rsidR="006E3CE2" w:rsidRDefault="006E3CE2" w:rsidP="00FB4346">
      <w:pPr>
        <w:pStyle w:val="Nagwek"/>
        <w:tabs>
          <w:tab w:val="clear" w:pos="4536"/>
          <w:tab w:val="clear" w:pos="9072"/>
        </w:tabs>
        <w:spacing w:line="252" w:lineRule="auto"/>
        <w:jc w:val="left"/>
        <w:rPr>
          <w:rFonts w:cs="Calibri"/>
          <w:sz w:val="22"/>
          <w:szCs w:val="22"/>
        </w:rPr>
      </w:pPr>
      <w:r>
        <w:rPr>
          <w:rFonts w:cs="Calibri"/>
          <w:sz w:val="22"/>
          <w:szCs w:val="22"/>
        </w:rPr>
        <w:t xml:space="preserve">Spółka </w:t>
      </w:r>
      <w:r w:rsidRPr="006E3CE2">
        <w:rPr>
          <w:rFonts w:cs="Calibri"/>
          <w:sz w:val="22"/>
          <w:szCs w:val="22"/>
        </w:rPr>
        <w:t>przyję</w:t>
      </w:r>
      <w:r>
        <w:rPr>
          <w:rFonts w:cs="Calibri"/>
          <w:sz w:val="22"/>
          <w:szCs w:val="22"/>
        </w:rPr>
        <w:t xml:space="preserve">ła </w:t>
      </w:r>
      <w:r w:rsidRPr="006E3CE2">
        <w:rPr>
          <w:rFonts w:cs="Calibri"/>
          <w:sz w:val="22"/>
          <w:szCs w:val="22"/>
        </w:rPr>
        <w:t xml:space="preserve">zasadę </w:t>
      </w:r>
      <w:r w:rsidRPr="0042777C">
        <w:rPr>
          <w:rFonts w:cs="Calibri"/>
          <w:sz w:val="22"/>
          <w:szCs w:val="22"/>
          <w:highlight w:val="yellow"/>
        </w:rPr>
        <w:t>kompensowania / niekompensowania</w:t>
      </w:r>
      <w:r w:rsidRPr="006E3CE2">
        <w:rPr>
          <w:rFonts w:cs="Calibri"/>
          <w:sz w:val="22"/>
          <w:szCs w:val="22"/>
        </w:rPr>
        <w:t xml:space="preserve"> aktywów i</w:t>
      </w:r>
      <w:r>
        <w:rPr>
          <w:rFonts w:cs="Calibri"/>
          <w:sz w:val="22"/>
          <w:szCs w:val="22"/>
        </w:rPr>
        <w:t xml:space="preserve"> </w:t>
      </w:r>
      <w:r w:rsidRPr="006E3CE2">
        <w:rPr>
          <w:rFonts w:cs="Calibri"/>
          <w:sz w:val="22"/>
          <w:szCs w:val="22"/>
        </w:rPr>
        <w:t>rezerw z tytułu odroczonego podatku dochodowego</w:t>
      </w:r>
      <w:r w:rsidR="00ED36D9">
        <w:rPr>
          <w:rFonts w:cs="Calibri"/>
          <w:sz w:val="22"/>
          <w:szCs w:val="22"/>
        </w:rPr>
        <w:t>.</w:t>
      </w:r>
    </w:p>
    <w:p w14:paraId="4E92A66B" w14:textId="0F306244" w:rsidR="00ED36D9" w:rsidRPr="00ED36D9" w:rsidRDefault="00ED36D9" w:rsidP="00FB4346">
      <w:pPr>
        <w:pStyle w:val="Nagwek"/>
        <w:spacing w:line="252" w:lineRule="auto"/>
        <w:jc w:val="left"/>
        <w:rPr>
          <w:rFonts w:cs="Calibri"/>
          <w:sz w:val="22"/>
          <w:szCs w:val="22"/>
        </w:rPr>
      </w:pPr>
      <w:commentRangeStart w:id="18"/>
      <w:r w:rsidRPr="00ED36D9">
        <w:rPr>
          <w:rFonts w:cs="Calibri"/>
          <w:sz w:val="22"/>
          <w:szCs w:val="22"/>
        </w:rPr>
        <w:t xml:space="preserve">Rezerwę i aktywa z tytułu odroczonego podatku dochodowego </w:t>
      </w:r>
      <w:r>
        <w:rPr>
          <w:rFonts w:cs="Calibri"/>
          <w:sz w:val="22"/>
          <w:szCs w:val="22"/>
        </w:rPr>
        <w:t xml:space="preserve">Spółka </w:t>
      </w:r>
      <w:r w:rsidRPr="00ED36D9">
        <w:rPr>
          <w:rFonts w:cs="Calibri"/>
          <w:sz w:val="22"/>
          <w:szCs w:val="22"/>
        </w:rPr>
        <w:t>kompens</w:t>
      </w:r>
      <w:r>
        <w:rPr>
          <w:rFonts w:cs="Calibri"/>
          <w:sz w:val="22"/>
          <w:szCs w:val="22"/>
        </w:rPr>
        <w:t>uje</w:t>
      </w:r>
      <w:r w:rsidRPr="00ED36D9">
        <w:rPr>
          <w:rFonts w:cs="Calibri"/>
          <w:sz w:val="22"/>
          <w:szCs w:val="22"/>
        </w:rPr>
        <w:t>, je</w:t>
      </w:r>
      <w:r>
        <w:rPr>
          <w:rFonts w:cs="Calibri"/>
          <w:sz w:val="22"/>
          <w:szCs w:val="22"/>
        </w:rPr>
        <w:t>ż</w:t>
      </w:r>
      <w:r w:rsidRPr="00ED36D9">
        <w:rPr>
          <w:rFonts w:cs="Calibri"/>
          <w:sz w:val="22"/>
          <w:szCs w:val="22"/>
        </w:rPr>
        <w:t>eli ma</w:t>
      </w:r>
      <w:r>
        <w:rPr>
          <w:rFonts w:cs="Calibri"/>
          <w:sz w:val="22"/>
          <w:szCs w:val="22"/>
        </w:rPr>
        <w:t xml:space="preserve"> </w:t>
      </w:r>
      <w:r w:rsidRPr="00ED36D9">
        <w:rPr>
          <w:rFonts w:cs="Calibri"/>
          <w:sz w:val="22"/>
          <w:szCs w:val="22"/>
        </w:rPr>
        <w:t>tytuł uprawniający ją do ich jednoczesnego uwzględnienia przy obliczaniu kwoty</w:t>
      </w:r>
      <w:r>
        <w:rPr>
          <w:rFonts w:cs="Calibri"/>
          <w:sz w:val="22"/>
          <w:szCs w:val="22"/>
        </w:rPr>
        <w:t xml:space="preserve"> </w:t>
      </w:r>
      <w:r w:rsidRPr="00ED36D9">
        <w:rPr>
          <w:rFonts w:cs="Calibri"/>
          <w:sz w:val="22"/>
          <w:szCs w:val="22"/>
        </w:rPr>
        <w:t xml:space="preserve">zobowiązania podatkowego. Uznaje się, </w:t>
      </w:r>
      <w:r>
        <w:rPr>
          <w:rFonts w:cs="Calibri"/>
          <w:sz w:val="22"/>
          <w:szCs w:val="22"/>
        </w:rPr>
        <w:t>ż</w:t>
      </w:r>
      <w:r w:rsidRPr="00ED36D9">
        <w:rPr>
          <w:rFonts w:cs="Calibri"/>
          <w:sz w:val="22"/>
          <w:szCs w:val="22"/>
        </w:rPr>
        <w:t xml:space="preserve">e </w:t>
      </w:r>
      <w:r>
        <w:rPr>
          <w:rFonts w:cs="Calibri"/>
          <w:sz w:val="22"/>
          <w:szCs w:val="22"/>
        </w:rPr>
        <w:t>J</w:t>
      </w:r>
      <w:r w:rsidRPr="00ED36D9">
        <w:rPr>
          <w:rFonts w:cs="Calibri"/>
          <w:sz w:val="22"/>
          <w:szCs w:val="22"/>
        </w:rPr>
        <w:t>ednostka posiada tytuł uprawniający</w:t>
      </w:r>
      <w:r>
        <w:rPr>
          <w:rFonts w:cs="Calibri"/>
          <w:sz w:val="22"/>
          <w:szCs w:val="22"/>
        </w:rPr>
        <w:t xml:space="preserve"> </w:t>
      </w:r>
      <w:r w:rsidRPr="00ED36D9">
        <w:rPr>
          <w:rFonts w:cs="Calibri"/>
          <w:sz w:val="22"/>
          <w:szCs w:val="22"/>
        </w:rPr>
        <w:t>do jednoczesnego uwzględnienia aktywów i rezerw z tytułu odroczonego podatku</w:t>
      </w:r>
      <w:r>
        <w:rPr>
          <w:rFonts w:cs="Calibri"/>
          <w:sz w:val="22"/>
          <w:szCs w:val="22"/>
        </w:rPr>
        <w:t xml:space="preserve"> </w:t>
      </w:r>
      <w:r w:rsidRPr="00ED36D9">
        <w:rPr>
          <w:rFonts w:cs="Calibri"/>
          <w:sz w:val="22"/>
          <w:szCs w:val="22"/>
        </w:rPr>
        <w:t>dochodowego przy ustaleniu zobowiązania podatkowego, je</w:t>
      </w:r>
      <w:r>
        <w:rPr>
          <w:rFonts w:cs="Calibri"/>
          <w:sz w:val="22"/>
          <w:szCs w:val="22"/>
        </w:rPr>
        <w:t>ż</w:t>
      </w:r>
      <w:r w:rsidRPr="00ED36D9">
        <w:rPr>
          <w:rFonts w:cs="Calibri"/>
          <w:sz w:val="22"/>
          <w:szCs w:val="22"/>
        </w:rPr>
        <w:t>eli:</w:t>
      </w:r>
    </w:p>
    <w:p w14:paraId="0CB9953E" w14:textId="6FB252FD" w:rsidR="00ED36D9" w:rsidRPr="00ED36D9" w:rsidRDefault="00ED36D9" w:rsidP="00FB4346">
      <w:pPr>
        <w:pStyle w:val="Nagwek"/>
        <w:spacing w:line="252" w:lineRule="auto"/>
        <w:jc w:val="left"/>
        <w:rPr>
          <w:rFonts w:cs="Calibri"/>
          <w:sz w:val="22"/>
          <w:szCs w:val="22"/>
        </w:rPr>
      </w:pPr>
      <w:r w:rsidRPr="00ED36D9">
        <w:rPr>
          <w:rFonts w:cs="Calibri"/>
          <w:sz w:val="22"/>
          <w:szCs w:val="22"/>
        </w:rPr>
        <w:t>a) jest uprawniona do potrącenia nale</w:t>
      </w:r>
      <w:r>
        <w:rPr>
          <w:rFonts w:cs="Calibri"/>
          <w:sz w:val="22"/>
          <w:szCs w:val="22"/>
        </w:rPr>
        <w:t>ż</w:t>
      </w:r>
      <w:r w:rsidRPr="00ED36D9">
        <w:rPr>
          <w:rFonts w:cs="Calibri"/>
          <w:sz w:val="22"/>
          <w:szCs w:val="22"/>
        </w:rPr>
        <w:t>ności i zobowiązań z tytułu podatku</w:t>
      </w:r>
      <w:r>
        <w:rPr>
          <w:rFonts w:cs="Calibri"/>
          <w:sz w:val="22"/>
          <w:szCs w:val="22"/>
        </w:rPr>
        <w:t xml:space="preserve"> </w:t>
      </w:r>
      <w:r w:rsidRPr="00ED36D9">
        <w:rPr>
          <w:rFonts w:cs="Calibri"/>
          <w:sz w:val="22"/>
          <w:szCs w:val="22"/>
        </w:rPr>
        <w:t>dochodowego, oraz</w:t>
      </w:r>
    </w:p>
    <w:p w14:paraId="7B1A92F9" w14:textId="06B78E5C" w:rsidR="00ED36D9" w:rsidRDefault="00ED36D9" w:rsidP="00FB4346">
      <w:pPr>
        <w:pStyle w:val="Nagwek"/>
        <w:spacing w:line="252" w:lineRule="auto"/>
        <w:jc w:val="left"/>
        <w:rPr>
          <w:rFonts w:cs="Calibri"/>
          <w:sz w:val="22"/>
          <w:szCs w:val="22"/>
        </w:rPr>
      </w:pPr>
      <w:r w:rsidRPr="00ED36D9">
        <w:rPr>
          <w:rFonts w:cs="Calibri"/>
          <w:sz w:val="22"/>
          <w:szCs w:val="22"/>
        </w:rPr>
        <w:t>b) aktywa i zobowiązania z tytułu odroczonego podatku dochodowego dotyczą</w:t>
      </w:r>
      <w:r>
        <w:rPr>
          <w:rFonts w:cs="Calibri"/>
          <w:sz w:val="22"/>
          <w:szCs w:val="22"/>
        </w:rPr>
        <w:t xml:space="preserve"> </w:t>
      </w:r>
      <w:r w:rsidRPr="00ED36D9">
        <w:rPr>
          <w:rFonts w:cs="Calibri"/>
          <w:sz w:val="22"/>
          <w:szCs w:val="22"/>
        </w:rPr>
        <w:t>podatku dochodowego nało</w:t>
      </w:r>
      <w:r>
        <w:rPr>
          <w:rFonts w:cs="Calibri"/>
          <w:sz w:val="22"/>
          <w:szCs w:val="22"/>
        </w:rPr>
        <w:t>ż</w:t>
      </w:r>
      <w:r w:rsidRPr="00ED36D9">
        <w:rPr>
          <w:rFonts w:cs="Calibri"/>
          <w:sz w:val="22"/>
          <w:szCs w:val="22"/>
        </w:rPr>
        <w:t>onego przez tą samą władzę podatkową</w:t>
      </w:r>
      <w:r w:rsidR="0042777C">
        <w:rPr>
          <w:rFonts w:cs="Calibri"/>
          <w:sz w:val="22"/>
          <w:szCs w:val="22"/>
        </w:rPr>
        <w:t xml:space="preserve"> </w:t>
      </w:r>
      <w:r w:rsidRPr="00ED36D9">
        <w:rPr>
          <w:rFonts w:cs="Calibri"/>
          <w:sz w:val="22"/>
          <w:szCs w:val="22"/>
        </w:rPr>
        <w:t>na</w:t>
      </w:r>
      <w:r w:rsidR="0042777C">
        <w:rPr>
          <w:rFonts w:cs="Calibri"/>
          <w:sz w:val="22"/>
          <w:szCs w:val="22"/>
        </w:rPr>
        <w:t xml:space="preserve"> (i) Spółkę, jako </w:t>
      </w:r>
      <w:r w:rsidRPr="00ED36D9">
        <w:rPr>
          <w:rFonts w:cs="Calibri"/>
          <w:sz w:val="22"/>
          <w:szCs w:val="22"/>
        </w:rPr>
        <w:t>podatnika, lub</w:t>
      </w:r>
      <w:r w:rsidR="0042777C">
        <w:rPr>
          <w:rFonts w:cs="Calibri"/>
          <w:sz w:val="22"/>
          <w:szCs w:val="22"/>
        </w:rPr>
        <w:t xml:space="preserve"> (ii) </w:t>
      </w:r>
      <w:r w:rsidRPr="00ED36D9">
        <w:rPr>
          <w:rFonts w:cs="Calibri"/>
          <w:sz w:val="22"/>
          <w:szCs w:val="22"/>
        </w:rPr>
        <w:t>ró</w:t>
      </w:r>
      <w:r w:rsidR="0042777C">
        <w:rPr>
          <w:rFonts w:cs="Calibri"/>
          <w:sz w:val="22"/>
          <w:szCs w:val="22"/>
        </w:rPr>
        <w:t>ż</w:t>
      </w:r>
      <w:r w:rsidRPr="00ED36D9">
        <w:rPr>
          <w:rFonts w:cs="Calibri"/>
          <w:sz w:val="22"/>
          <w:szCs w:val="22"/>
        </w:rPr>
        <w:t>nych podatników, którzy są uprawnieni i zamierzają rozliczyć</w:t>
      </w:r>
      <w:r w:rsidR="0042777C">
        <w:rPr>
          <w:rFonts w:cs="Calibri"/>
          <w:sz w:val="22"/>
          <w:szCs w:val="22"/>
        </w:rPr>
        <w:t xml:space="preserve"> </w:t>
      </w:r>
      <w:r w:rsidRPr="00ED36D9">
        <w:rPr>
          <w:rFonts w:cs="Calibri"/>
          <w:sz w:val="22"/>
          <w:szCs w:val="22"/>
        </w:rPr>
        <w:t>nale</w:t>
      </w:r>
      <w:r w:rsidR="0042777C">
        <w:rPr>
          <w:rFonts w:cs="Calibri"/>
          <w:sz w:val="22"/>
          <w:szCs w:val="22"/>
        </w:rPr>
        <w:t>ż</w:t>
      </w:r>
      <w:r w:rsidRPr="00ED36D9">
        <w:rPr>
          <w:rFonts w:cs="Calibri"/>
          <w:sz w:val="22"/>
          <w:szCs w:val="22"/>
        </w:rPr>
        <w:t>ności i zobowiązania z tytułu podatku dochodowego w kwocie netto</w:t>
      </w:r>
      <w:r w:rsidR="0042777C">
        <w:rPr>
          <w:rFonts w:cs="Calibri"/>
          <w:sz w:val="22"/>
          <w:szCs w:val="22"/>
        </w:rPr>
        <w:t xml:space="preserve"> </w:t>
      </w:r>
      <w:r w:rsidRPr="00ED36D9">
        <w:rPr>
          <w:rFonts w:cs="Calibri"/>
          <w:sz w:val="22"/>
          <w:szCs w:val="22"/>
        </w:rPr>
        <w:t>lub jednocześnie zrealizować nale</w:t>
      </w:r>
      <w:r w:rsidR="0042777C">
        <w:rPr>
          <w:rFonts w:cs="Calibri"/>
          <w:sz w:val="22"/>
          <w:szCs w:val="22"/>
        </w:rPr>
        <w:t>ż</w:t>
      </w:r>
      <w:r w:rsidRPr="00ED36D9">
        <w:rPr>
          <w:rFonts w:cs="Calibri"/>
          <w:sz w:val="22"/>
          <w:szCs w:val="22"/>
        </w:rPr>
        <w:t>ności i rozliczać zobowiązania z tytułu</w:t>
      </w:r>
      <w:r w:rsidR="0042777C">
        <w:rPr>
          <w:rFonts w:cs="Calibri"/>
          <w:sz w:val="22"/>
          <w:szCs w:val="22"/>
        </w:rPr>
        <w:t xml:space="preserve"> </w:t>
      </w:r>
      <w:r w:rsidRPr="00ED36D9">
        <w:rPr>
          <w:rFonts w:cs="Calibri"/>
          <w:sz w:val="22"/>
          <w:szCs w:val="22"/>
        </w:rPr>
        <w:t>podatku dochodowego.</w:t>
      </w:r>
      <w:commentRangeEnd w:id="18"/>
      <w:r w:rsidR="0042777C">
        <w:rPr>
          <w:rStyle w:val="Odwoaniedokomentarza"/>
        </w:rPr>
        <w:commentReference w:id="18"/>
      </w:r>
    </w:p>
    <w:p w14:paraId="331AABB6" w14:textId="5DDC0EB0" w:rsidR="006E3CE2" w:rsidRPr="006E3CE2" w:rsidRDefault="006E3CE2" w:rsidP="00FB4346">
      <w:pPr>
        <w:pStyle w:val="Nagwek"/>
        <w:spacing w:line="252" w:lineRule="auto"/>
        <w:jc w:val="left"/>
        <w:rPr>
          <w:rFonts w:cs="Calibri"/>
          <w:sz w:val="22"/>
          <w:szCs w:val="22"/>
        </w:rPr>
      </w:pPr>
      <w:r w:rsidRPr="0042777C">
        <w:rPr>
          <w:rFonts w:cs="Calibri"/>
          <w:sz w:val="22"/>
          <w:szCs w:val="22"/>
          <w:highlight w:val="yellow"/>
        </w:rPr>
        <w:t xml:space="preserve">Jeżeli różnice przejściowe powstają w równych okresach i ulegają odwróceniu w różnych okresach, w których stawki podatkowe określone przez przepisy podatkowe są różne, do ustalenia aktywów </w:t>
      </w:r>
      <w:r w:rsidR="00A86953">
        <w:rPr>
          <w:rFonts w:cs="Calibri"/>
          <w:sz w:val="22"/>
          <w:szCs w:val="22"/>
          <w:highlight w:val="yellow"/>
        </w:rPr>
        <w:br/>
      </w:r>
      <w:r w:rsidRPr="0042777C">
        <w:rPr>
          <w:rFonts w:cs="Calibri"/>
          <w:sz w:val="22"/>
          <w:szCs w:val="22"/>
          <w:highlight w:val="yellow"/>
        </w:rPr>
        <w:lastRenderedPageBreak/>
        <w:t xml:space="preserve">i rezerw z tytułu odroczonego podatku dochodowego przyjmuje się i konsekwentnie stosuje metodę polegającą na tym, że różnice powstające jako pierwsze ulegają odwróceniu jako pierwsze. Jeżeli wiarygodne ustalenie terminów odwracania się różnic przejściowych w przyszłości nie jest możliwe wówczas (i) rezerwy z tytułu odroczonego podatku dochodowego ustala się w najwyższej kwocie, </w:t>
      </w:r>
      <w:r w:rsidR="005607AE">
        <w:rPr>
          <w:rFonts w:cs="Calibri"/>
          <w:sz w:val="22"/>
          <w:szCs w:val="22"/>
          <w:highlight w:val="yellow"/>
        </w:rPr>
        <w:br/>
      </w:r>
      <w:r w:rsidRPr="0042777C">
        <w:rPr>
          <w:rFonts w:cs="Calibri"/>
          <w:sz w:val="22"/>
          <w:szCs w:val="22"/>
          <w:highlight w:val="yellow"/>
        </w:rPr>
        <w:t>(ii) aktywa z tytułu odroczonego podatku dochodowego ustala się w najniższej kwocie.</w:t>
      </w:r>
    </w:p>
    <w:p w14:paraId="7F0FDB2C" w14:textId="77777777" w:rsidR="00901361" w:rsidRPr="00B43AC9" w:rsidRDefault="00901361" w:rsidP="00FB4346">
      <w:pPr>
        <w:pStyle w:val="Nagwek1"/>
        <w:numPr>
          <w:ilvl w:val="1"/>
          <w:numId w:val="5"/>
        </w:numPr>
        <w:ind w:left="993" w:hanging="709"/>
        <w:jc w:val="left"/>
      </w:pPr>
      <w:r w:rsidRPr="00B43AC9">
        <w:t>Instrumenty finansowe</w:t>
      </w:r>
    </w:p>
    <w:p w14:paraId="1E581E1F" w14:textId="1E6E886D" w:rsidR="00B660D5" w:rsidRDefault="00824FCD" w:rsidP="00FB4346">
      <w:pPr>
        <w:jc w:val="left"/>
      </w:pPr>
      <w:r>
        <w:rPr>
          <w:highlight w:val="yellow"/>
        </w:rPr>
        <w:t xml:space="preserve">Jednostka nie stosuje przepisów o szczególnych zasadach uznawania, metodach wyceny, zakresie </w:t>
      </w:r>
      <w:r w:rsidR="003E7381">
        <w:rPr>
          <w:highlight w:val="yellow"/>
        </w:rPr>
        <w:t>ujawniania</w:t>
      </w:r>
      <w:r>
        <w:rPr>
          <w:highlight w:val="yellow"/>
        </w:rPr>
        <w:t xml:space="preserve"> i sposobu instrumentów </w:t>
      </w:r>
      <w:r w:rsidR="003E7381">
        <w:rPr>
          <w:highlight w:val="yellow"/>
        </w:rPr>
        <w:t>finansowych</w:t>
      </w:r>
      <w:r>
        <w:rPr>
          <w:highlight w:val="yellow"/>
        </w:rPr>
        <w:t xml:space="preserve"> na podstawie </w:t>
      </w:r>
      <w:r w:rsidR="003E7381">
        <w:rPr>
          <w:highlight w:val="yellow"/>
        </w:rPr>
        <w:t>postanowień</w:t>
      </w:r>
      <w:r>
        <w:rPr>
          <w:highlight w:val="yellow"/>
        </w:rPr>
        <w:t xml:space="preserve"> art. 28b </w:t>
      </w:r>
      <w:r w:rsidR="0042777C">
        <w:rPr>
          <w:highlight w:val="yellow"/>
        </w:rPr>
        <w:t>u</w:t>
      </w:r>
      <w:r>
        <w:rPr>
          <w:highlight w:val="yellow"/>
        </w:rPr>
        <w:t>stawy</w:t>
      </w:r>
      <w:r w:rsidR="0042777C">
        <w:rPr>
          <w:highlight w:val="yellow"/>
        </w:rPr>
        <w:t xml:space="preserve"> </w:t>
      </w:r>
      <w:r w:rsidR="00A86953">
        <w:rPr>
          <w:highlight w:val="yellow"/>
        </w:rPr>
        <w:br/>
      </w:r>
      <w:r w:rsidR="0042777C">
        <w:rPr>
          <w:highlight w:val="yellow"/>
        </w:rPr>
        <w:t>o rachunkowości</w:t>
      </w:r>
      <w:r>
        <w:rPr>
          <w:highlight w:val="yellow"/>
        </w:rPr>
        <w:t>.</w:t>
      </w:r>
      <w:r w:rsidR="00215D1F" w:rsidRPr="00C76464">
        <w:rPr>
          <w:highlight w:val="yellow"/>
        </w:rPr>
        <w:t xml:space="preserve"> </w:t>
      </w:r>
      <w:r w:rsidR="00215D1F" w:rsidRPr="00C063E8">
        <w:rPr>
          <w:color w:val="FF0000"/>
        </w:rPr>
        <w:t>(</w:t>
      </w:r>
      <w:r w:rsidR="00215D1F" w:rsidRPr="00C063E8">
        <w:rPr>
          <w:i/>
          <w:color w:val="FF0000"/>
        </w:rPr>
        <w:t>lub poniższe akapity</w:t>
      </w:r>
      <w:r w:rsidR="00215D1F" w:rsidRPr="00C063E8">
        <w:rPr>
          <w:color w:val="FF0000"/>
        </w:rPr>
        <w:t>)</w:t>
      </w:r>
    </w:p>
    <w:p w14:paraId="35885DE9" w14:textId="1BE8734B" w:rsidR="002F1BAA" w:rsidRDefault="00C94C57" w:rsidP="00FB4346">
      <w:pPr>
        <w:jc w:val="left"/>
      </w:pPr>
      <w:r>
        <w:rPr>
          <w:highlight w:val="yellow"/>
        </w:rPr>
        <w:t>Jednostka</w:t>
      </w:r>
      <w:r w:rsidR="00CC7C83" w:rsidRPr="00346B8F">
        <w:rPr>
          <w:highlight w:val="yellow"/>
        </w:rPr>
        <w:t xml:space="preserve"> </w:t>
      </w:r>
      <w:r w:rsidR="00F42CB0" w:rsidRPr="00346B8F">
        <w:rPr>
          <w:highlight w:val="yellow"/>
        </w:rPr>
        <w:t xml:space="preserve">stosuje </w:t>
      </w:r>
      <w:r w:rsidR="00B660D5" w:rsidRPr="00346B8F">
        <w:rPr>
          <w:highlight w:val="yellow"/>
        </w:rPr>
        <w:t>zasad</w:t>
      </w:r>
      <w:r w:rsidR="00F42CB0" w:rsidRPr="00346B8F">
        <w:rPr>
          <w:highlight w:val="yellow"/>
        </w:rPr>
        <w:t>y</w:t>
      </w:r>
      <w:r w:rsidR="00B660D5" w:rsidRPr="00346B8F">
        <w:rPr>
          <w:highlight w:val="yellow"/>
        </w:rPr>
        <w:t xml:space="preserve"> uznawania, metody wyceny, zakres ujawniania i sposób prezentacji instrumentów finansowych</w:t>
      </w:r>
      <w:r w:rsidR="00F42CB0" w:rsidRPr="00346B8F">
        <w:rPr>
          <w:highlight w:val="yellow"/>
        </w:rPr>
        <w:t xml:space="preserve">, zgodnie z </w:t>
      </w:r>
      <w:r w:rsidR="000B22D3" w:rsidRPr="000B22D3">
        <w:rPr>
          <w:highlight w:val="yellow"/>
        </w:rPr>
        <w:t>Rozporządzeni</w:t>
      </w:r>
      <w:r w:rsidR="00231F07">
        <w:rPr>
          <w:highlight w:val="yellow"/>
        </w:rPr>
        <w:t>em</w:t>
      </w:r>
      <w:r w:rsidR="000B22D3" w:rsidRPr="000B22D3">
        <w:rPr>
          <w:highlight w:val="yellow"/>
        </w:rPr>
        <w:t xml:space="preserve"> Ministra Finansów z dnia </w:t>
      </w:r>
      <w:r w:rsidR="000B22D3" w:rsidRPr="000B22D3">
        <w:rPr>
          <w:highlight w:val="yellow"/>
        </w:rPr>
        <w:br/>
        <w:t>17 listopada 2024 r. w sprawie uznawania i metod wyceny oraz ujawniania i prezentacji instrumentów finansowych (Dz.U.2024.1750)</w:t>
      </w:r>
      <w:r w:rsidR="00F42CB0" w:rsidRPr="00346B8F">
        <w:rPr>
          <w:highlight w:val="yellow"/>
        </w:rPr>
        <w:t>.</w:t>
      </w:r>
    </w:p>
    <w:p w14:paraId="4B877488" w14:textId="77777777" w:rsidR="00D646D2" w:rsidRDefault="00D646D2" w:rsidP="00FB4346">
      <w:pPr>
        <w:jc w:val="left"/>
      </w:pPr>
      <w:r w:rsidRPr="00300F9F">
        <w:t>Aktywa finansowe wprowadza się do ksiąg rachunkowych na dzień zawarcia kontraktu w cenie nabycia, to jest w wartości godziwej poniesionych wydatków lub przekazanych w zamian innych składników majątkowych</w:t>
      </w:r>
      <w:r>
        <w:t>.</w:t>
      </w:r>
    </w:p>
    <w:p w14:paraId="268E6AC9" w14:textId="77777777" w:rsidR="00D646D2" w:rsidRDefault="00D646D2" w:rsidP="00FB4346">
      <w:pPr>
        <w:jc w:val="left"/>
      </w:pPr>
      <w:r>
        <w:t xml:space="preserve">Zobowiązania finansowe </w:t>
      </w:r>
      <w:r w:rsidRPr="00300F9F">
        <w:t>wprowadza się do ksiąg rachunkowych na dzień zawarcia kontraktu w</w:t>
      </w:r>
      <w:r w:rsidR="00CC7C83">
        <w:t> </w:t>
      </w:r>
      <w:r w:rsidRPr="00300F9F">
        <w:t xml:space="preserve">wartości godziwej uzyskanej kwoty lub wartości otrzymanych innych składników majątkowych. </w:t>
      </w:r>
    </w:p>
    <w:p w14:paraId="40A371A5" w14:textId="77777777" w:rsidR="00D646D2" w:rsidRDefault="00D646D2" w:rsidP="00FB4346">
      <w:pPr>
        <w:jc w:val="left"/>
      </w:pPr>
      <w:r w:rsidRPr="00300F9F">
        <w:t xml:space="preserve">Przy ustalaniu wartości godziwej </w:t>
      </w:r>
      <w:r>
        <w:t xml:space="preserve">aktywów oraz zobowiązań finansowych </w:t>
      </w:r>
      <w:r w:rsidRPr="00300F9F">
        <w:t>na dzień</w:t>
      </w:r>
      <w:r>
        <w:t xml:space="preserve"> nabycia,</w:t>
      </w:r>
      <w:r w:rsidRPr="00300F9F">
        <w:t xml:space="preserve"> uwzględnia się poniesione przez </w:t>
      </w:r>
      <w:r w:rsidR="00ED084A">
        <w:t>J</w:t>
      </w:r>
      <w:r w:rsidRPr="00300F9F">
        <w:t>ednostkę koszty transakcji.</w:t>
      </w:r>
    </w:p>
    <w:p w14:paraId="0FC47BF5" w14:textId="73E15BCB" w:rsidR="004D07BE" w:rsidRPr="004D07BE" w:rsidRDefault="004D07BE" w:rsidP="00FB4346">
      <w:pPr>
        <w:pStyle w:val="Nagwek"/>
        <w:spacing w:line="252" w:lineRule="auto"/>
        <w:jc w:val="left"/>
        <w:rPr>
          <w:rFonts w:cs="Calibri"/>
          <w:sz w:val="22"/>
          <w:szCs w:val="22"/>
        </w:rPr>
      </w:pPr>
      <w:r w:rsidRPr="004D07BE">
        <w:rPr>
          <w:rFonts w:cs="Calibri"/>
          <w:sz w:val="22"/>
          <w:szCs w:val="22"/>
        </w:rPr>
        <w:t>1) Przeznaczone do obrotu</w:t>
      </w:r>
    </w:p>
    <w:p w14:paraId="2B7D1F19" w14:textId="6AB2E7C5" w:rsidR="004D07BE" w:rsidRPr="004D07BE" w:rsidRDefault="004D07BE" w:rsidP="00FB4346">
      <w:pPr>
        <w:jc w:val="left"/>
        <w:rPr>
          <w:rFonts w:cs="Calibri"/>
          <w:szCs w:val="22"/>
        </w:rPr>
      </w:pPr>
      <w:r w:rsidRPr="004D07BE">
        <w:rPr>
          <w:rFonts w:cs="Calibri"/>
          <w:szCs w:val="22"/>
        </w:rPr>
        <w:t>Nabyte w celu odsprzedaży w okresie do 3 miesięcy, w celu osiągnięcia korzyści ekonomicznych wynikających z krótkoterminowych zmian cen oraz wahań innych czynników rynkowych albo krótkiego czasu trwania nabytego instrumentu;</w:t>
      </w:r>
    </w:p>
    <w:p w14:paraId="7ACDA4B9" w14:textId="6928FA08" w:rsidR="004D07BE" w:rsidRPr="004D07BE" w:rsidRDefault="004D07BE" w:rsidP="00FB4346">
      <w:pPr>
        <w:pStyle w:val="Nagwek"/>
        <w:spacing w:line="252" w:lineRule="auto"/>
        <w:jc w:val="left"/>
        <w:rPr>
          <w:rFonts w:cs="Calibri"/>
          <w:sz w:val="22"/>
          <w:szCs w:val="22"/>
        </w:rPr>
      </w:pPr>
      <w:r w:rsidRPr="004D07BE">
        <w:rPr>
          <w:rFonts w:cs="Calibri"/>
          <w:sz w:val="22"/>
          <w:szCs w:val="22"/>
        </w:rPr>
        <w:t>Wycena: według wartości godziwej</w:t>
      </w:r>
      <w:r w:rsidRPr="004D07BE">
        <w:rPr>
          <w:rFonts w:cs="Calibri"/>
          <w:sz w:val="22"/>
          <w:szCs w:val="22"/>
          <w:vertAlign w:val="superscript"/>
        </w:rPr>
        <w:t xml:space="preserve">* </w:t>
      </w:r>
      <w:r w:rsidRPr="004D07BE">
        <w:rPr>
          <w:rFonts w:cs="Calibri"/>
          <w:sz w:val="22"/>
          <w:szCs w:val="22"/>
        </w:rPr>
        <w:t>- różnica z przeszacowania wartości godziwej odnoszona jest na wynik finansowy;</w:t>
      </w:r>
    </w:p>
    <w:p w14:paraId="14DD891D" w14:textId="53A2092E" w:rsidR="004D07BE" w:rsidRPr="004D07BE" w:rsidRDefault="004D07BE" w:rsidP="00FB4346">
      <w:pPr>
        <w:pStyle w:val="Nagwek"/>
        <w:spacing w:line="252" w:lineRule="auto"/>
        <w:jc w:val="left"/>
        <w:rPr>
          <w:rFonts w:cs="Calibri"/>
          <w:sz w:val="22"/>
          <w:szCs w:val="22"/>
          <w:highlight w:val="yellow"/>
        </w:rPr>
      </w:pPr>
      <w:r w:rsidRPr="004D07BE">
        <w:rPr>
          <w:rFonts w:cs="Calibri"/>
          <w:sz w:val="22"/>
          <w:szCs w:val="22"/>
        </w:rPr>
        <w:t>2) Pożyczki udzielone i należności własne</w:t>
      </w:r>
    </w:p>
    <w:p w14:paraId="224C8D09" w14:textId="2EB9B303" w:rsidR="004D07BE" w:rsidRPr="004D07BE" w:rsidRDefault="004D07BE" w:rsidP="00FB4346">
      <w:pPr>
        <w:pStyle w:val="Nagwek"/>
        <w:spacing w:line="252" w:lineRule="auto"/>
        <w:jc w:val="left"/>
        <w:rPr>
          <w:rFonts w:cs="Calibri"/>
          <w:sz w:val="22"/>
          <w:szCs w:val="22"/>
        </w:rPr>
      </w:pPr>
      <w:r w:rsidRPr="004D07BE">
        <w:rPr>
          <w:rFonts w:cs="Calibri"/>
          <w:sz w:val="22"/>
          <w:szCs w:val="22"/>
        </w:rPr>
        <w:t>Niezależnie od terminu wymagalności (zapłaty), aktywa finansowe powstałe na skutek wydania bezpośrednio drugiej stronie kontraktu środków pieniężnych oraz obligacje i inne dłużne instrumenty finansowe nabyte w zamian za wydane bezpośrednio drugiej stronie kontraktu środki pieniężne.</w:t>
      </w:r>
    </w:p>
    <w:p w14:paraId="39B57783" w14:textId="68AA8200" w:rsidR="004D07BE" w:rsidRPr="004D07BE" w:rsidRDefault="004D07BE" w:rsidP="00FB4346">
      <w:pPr>
        <w:pStyle w:val="Nagwek"/>
        <w:spacing w:line="252" w:lineRule="auto"/>
        <w:jc w:val="left"/>
        <w:rPr>
          <w:rFonts w:cs="Calibri"/>
          <w:sz w:val="22"/>
          <w:szCs w:val="22"/>
        </w:rPr>
      </w:pPr>
      <w:r w:rsidRPr="004D07BE">
        <w:rPr>
          <w:rFonts w:cs="Calibri"/>
          <w:sz w:val="22"/>
          <w:szCs w:val="22"/>
        </w:rPr>
        <w:t>Wycena: według skorygowanej ceny nabycia</w:t>
      </w:r>
    </w:p>
    <w:p w14:paraId="67381622" w14:textId="3462EC17" w:rsidR="004D07BE" w:rsidRPr="004D07BE" w:rsidRDefault="004D07BE" w:rsidP="00FB4346">
      <w:pPr>
        <w:pStyle w:val="Nagwek"/>
        <w:spacing w:line="252" w:lineRule="auto"/>
        <w:jc w:val="left"/>
        <w:rPr>
          <w:rFonts w:cs="Calibri"/>
          <w:sz w:val="22"/>
          <w:szCs w:val="22"/>
        </w:rPr>
      </w:pPr>
      <w:r w:rsidRPr="004D07BE">
        <w:rPr>
          <w:rFonts w:cs="Calibri"/>
          <w:sz w:val="22"/>
          <w:szCs w:val="22"/>
        </w:rPr>
        <w:t>Pożyczki udzielone i należności własne, które Jednostka przeznacza do sprzedaży w krótkim terminie, tj. 3 miesięcy, zalicza się do aktywów finansowych przeznaczonych do obrotu.</w:t>
      </w:r>
    </w:p>
    <w:p w14:paraId="371191FE" w14:textId="502FD7C0" w:rsidR="004D07BE" w:rsidRPr="004D07BE" w:rsidRDefault="004D07BE" w:rsidP="00FB4346">
      <w:pPr>
        <w:pStyle w:val="Nagwek"/>
        <w:jc w:val="left"/>
        <w:rPr>
          <w:rFonts w:cs="Calibri"/>
          <w:sz w:val="22"/>
          <w:szCs w:val="22"/>
        </w:rPr>
      </w:pPr>
      <w:r w:rsidRPr="004D07BE">
        <w:rPr>
          <w:rFonts w:cs="Calibri"/>
          <w:sz w:val="22"/>
          <w:szCs w:val="22"/>
        </w:rPr>
        <w:t>Wycena: według wartości godziwej</w:t>
      </w:r>
      <w:r w:rsidRPr="004D07BE">
        <w:rPr>
          <w:rFonts w:cs="Calibri"/>
          <w:sz w:val="22"/>
          <w:szCs w:val="22"/>
          <w:vertAlign w:val="superscript"/>
        </w:rPr>
        <w:t xml:space="preserve">* </w:t>
      </w:r>
      <w:r w:rsidRPr="004D07BE">
        <w:rPr>
          <w:rFonts w:cs="Calibri"/>
          <w:sz w:val="22"/>
          <w:szCs w:val="22"/>
        </w:rPr>
        <w:t>- różnica z przeszacowania wartości godziwej odnoszona jest na wynik finansowy;</w:t>
      </w:r>
    </w:p>
    <w:p w14:paraId="1923B85B" w14:textId="58ADBB42" w:rsidR="004D07BE" w:rsidRPr="004D07BE" w:rsidRDefault="004D07BE" w:rsidP="00FB4346">
      <w:pPr>
        <w:pStyle w:val="Nagwek"/>
        <w:spacing w:line="252" w:lineRule="auto"/>
        <w:jc w:val="left"/>
        <w:rPr>
          <w:rFonts w:cs="Calibri"/>
          <w:sz w:val="22"/>
          <w:szCs w:val="22"/>
        </w:rPr>
      </w:pPr>
      <w:r w:rsidRPr="004D07BE">
        <w:rPr>
          <w:rFonts w:cs="Calibri"/>
          <w:sz w:val="22"/>
          <w:szCs w:val="22"/>
        </w:rPr>
        <w:t>3) Utrzymywane do terminu wymagalności</w:t>
      </w:r>
    </w:p>
    <w:p w14:paraId="3DD37E7E" w14:textId="4E575B5C" w:rsidR="004D07BE" w:rsidRPr="004D07BE" w:rsidRDefault="004D07BE" w:rsidP="00FB4346">
      <w:pPr>
        <w:pStyle w:val="Nagwek"/>
        <w:spacing w:line="252" w:lineRule="auto"/>
        <w:jc w:val="left"/>
        <w:rPr>
          <w:rFonts w:cs="Calibri"/>
          <w:sz w:val="22"/>
          <w:szCs w:val="22"/>
        </w:rPr>
      </w:pPr>
      <w:r w:rsidRPr="004D07BE">
        <w:rPr>
          <w:rFonts w:cs="Calibri"/>
          <w:sz w:val="22"/>
          <w:szCs w:val="22"/>
        </w:rPr>
        <w:t xml:space="preserve">Niezakwalifikowane do pożyczek udzielonych i należności własnych aktywa finansowe, dla których zawarte umowy/ kontrakty ustalają termin wymagalności spłaty wartości nominalnej oraz określają prawo do otrzymania w ustalonych terminach korzyści ekonomicznych, pod warunkiem że Jednostka </w:t>
      </w:r>
      <w:r w:rsidRPr="004D07BE">
        <w:rPr>
          <w:rFonts w:cs="Calibri"/>
          <w:sz w:val="22"/>
          <w:szCs w:val="22"/>
        </w:rPr>
        <w:lastRenderedPageBreak/>
        <w:t>zamierza i może utrzymać te aktywa do czasu, gdy staną się one wymagalne i nastąpi ich wykup oraz nabyte dłużne instrumenty finansowe z opcją sprzedaży (</w:t>
      </w:r>
      <w:proofErr w:type="spellStart"/>
      <w:r w:rsidRPr="004D07BE">
        <w:rPr>
          <w:rFonts w:cs="Calibri"/>
          <w:sz w:val="22"/>
          <w:szCs w:val="22"/>
        </w:rPr>
        <w:t>put</w:t>
      </w:r>
      <w:proofErr w:type="spellEnd"/>
      <w:r w:rsidRPr="004D07BE">
        <w:rPr>
          <w:rFonts w:cs="Calibri"/>
          <w:sz w:val="22"/>
          <w:szCs w:val="22"/>
        </w:rPr>
        <w:t>) lub opcją kupna (</w:t>
      </w:r>
      <w:proofErr w:type="spellStart"/>
      <w:r w:rsidRPr="004D07BE">
        <w:rPr>
          <w:rFonts w:cs="Calibri"/>
          <w:sz w:val="22"/>
          <w:szCs w:val="22"/>
        </w:rPr>
        <w:t>call</w:t>
      </w:r>
      <w:proofErr w:type="spellEnd"/>
      <w:r w:rsidRPr="004D07BE">
        <w:rPr>
          <w:rFonts w:cs="Calibri"/>
          <w:sz w:val="22"/>
          <w:szCs w:val="22"/>
        </w:rPr>
        <w:t>), które odpowiednio dają stronom kontraktu prawo wykupu instrumentu przed upływem terminu wymagalności, pod warunkiem że Jednostka - pomimo posiadania opcji sprzedaży - zamierza i może utrzymać instrument do terminu wymagalności.</w:t>
      </w:r>
    </w:p>
    <w:p w14:paraId="6744DB4B" w14:textId="77777777" w:rsidR="004D07BE" w:rsidRPr="004D07BE" w:rsidRDefault="004D07BE" w:rsidP="00FB4346">
      <w:pPr>
        <w:pStyle w:val="Nagwek"/>
        <w:jc w:val="left"/>
        <w:rPr>
          <w:rFonts w:cs="Calibri"/>
          <w:sz w:val="22"/>
          <w:szCs w:val="22"/>
        </w:rPr>
      </w:pPr>
      <w:r w:rsidRPr="004D07BE">
        <w:rPr>
          <w:rFonts w:cs="Calibri"/>
          <w:sz w:val="22"/>
          <w:szCs w:val="22"/>
        </w:rPr>
        <w:t>Wycena: według skorygowanej ceny nabycia</w:t>
      </w:r>
    </w:p>
    <w:p w14:paraId="51507CC2" w14:textId="37C0EC1C" w:rsidR="004D07BE" w:rsidRPr="004D07BE" w:rsidRDefault="004D07BE" w:rsidP="00FB4346">
      <w:pPr>
        <w:pStyle w:val="Nagwek"/>
        <w:spacing w:line="252" w:lineRule="auto"/>
        <w:jc w:val="left"/>
        <w:rPr>
          <w:rFonts w:cs="Calibri"/>
          <w:sz w:val="22"/>
          <w:szCs w:val="22"/>
        </w:rPr>
      </w:pPr>
      <w:r w:rsidRPr="004D07BE">
        <w:rPr>
          <w:rFonts w:cs="Calibri"/>
          <w:sz w:val="22"/>
          <w:szCs w:val="22"/>
        </w:rPr>
        <w:t>4) Dostępne do sprzedaży</w:t>
      </w:r>
    </w:p>
    <w:p w14:paraId="3CD0B9E6" w14:textId="312B2B0C" w:rsidR="004D07BE" w:rsidRPr="004D07BE" w:rsidRDefault="004D07BE" w:rsidP="00FB4346">
      <w:pPr>
        <w:pStyle w:val="Nagwek"/>
        <w:spacing w:line="252" w:lineRule="auto"/>
        <w:jc w:val="left"/>
        <w:rPr>
          <w:rFonts w:cs="Calibri"/>
          <w:sz w:val="22"/>
          <w:szCs w:val="22"/>
        </w:rPr>
      </w:pPr>
      <w:r w:rsidRPr="004D07BE">
        <w:rPr>
          <w:rFonts w:cs="Calibri"/>
          <w:sz w:val="22"/>
          <w:szCs w:val="22"/>
        </w:rPr>
        <w:t>Pozostałe aktywa finansowe, niespełniające warunków zaliczenia do wcześniejszych kategorii.</w:t>
      </w:r>
    </w:p>
    <w:p w14:paraId="28F99ADC" w14:textId="5CC4D787" w:rsidR="004D07BE" w:rsidRPr="004D07BE" w:rsidRDefault="004D07BE" w:rsidP="00FB4346">
      <w:pPr>
        <w:pStyle w:val="Nagwek"/>
        <w:spacing w:line="252" w:lineRule="auto"/>
        <w:jc w:val="left"/>
        <w:rPr>
          <w:rFonts w:cs="Calibri"/>
          <w:sz w:val="22"/>
          <w:szCs w:val="22"/>
        </w:rPr>
      </w:pPr>
      <w:r w:rsidRPr="004D07BE">
        <w:rPr>
          <w:rFonts w:cs="Calibri"/>
          <w:sz w:val="22"/>
          <w:szCs w:val="22"/>
        </w:rPr>
        <w:t>Wycena: według wartości godziwej</w:t>
      </w:r>
      <w:r w:rsidRPr="004D07BE">
        <w:rPr>
          <w:rFonts w:cs="Calibri"/>
          <w:sz w:val="22"/>
          <w:szCs w:val="22"/>
          <w:vertAlign w:val="superscript"/>
        </w:rPr>
        <w:t xml:space="preserve">* </w:t>
      </w:r>
      <w:r w:rsidRPr="004D07BE">
        <w:rPr>
          <w:rFonts w:cs="Calibri"/>
          <w:sz w:val="22"/>
          <w:szCs w:val="22"/>
        </w:rPr>
        <w:t xml:space="preserve">- różnica z przeszacowania wartości godziwej odnoszona jest na </w:t>
      </w:r>
      <w:r w:rsidRPr="00C063E8">
        <w:rPr>
          <w:rFonts w:cs="Calibri"/>
          <w:sz w:val="22"/>
          <w:szCs w:val="22"/>
          <w:highlight w:val="yellow"/>
        </w:rPr>
        <w:t>wynik finansowy / kapitał z aktualizacji wyceny</w:t>
      </w:r>
      <w:r w:rsidRPr="004D07BE">
        <w:rPr>
          <w:rFonts w:cs="Calibri"/>
          <w:sz w:val="22"/>
          <w:szCs w:val="22"/>
        </w:rPr>
        <w:t>;</w:t>
      </w:r>
    </w:p>
    <w:p w14:paraId="72363917" w14:textId="77777777" w:rsidR="00295912" w:rsidRPr="00B43AC9" w:rsidRDefault="009F5644" w:rsidP="00FB4346">
      <w:pPr>
        <w:pStyle w:val="Nagwek"/>
        <w:spacing w:before="0" w:after="0"/>
        <w:ind w:left="142" w:hanging="142"/>
        <w:jc w:val="left"/>
        <w:rPr>
          <w:rFonts w:cs="Calibri"/>
          <w:i/>
          <w:szCs w:val="22"/>
        </w:rPr>
      </w:pPr>
      <w:r w:rsidRPr="00207CB1">
        <w:rPr>
          <w:rFonts w:cs="Calibri"/>
          <w:sz w:val="22"/>
          <w:szCs w:val="22"/>
          <w:vertAlign w:val="superscript"/>
        </w:rPr>
        <w:t>*</w:t>
      </w:r>
      <w:r w:rsidRPr="009F5644">
        <w:rPr>
          <w:rFonts w:cs="Calibri"/>
          <w:sz w:val="22"/>
          <w:szCs w:val="22"/>
        </w:rPr>
        <w:t xml:space="preserve"> </w:t>
      </w:r>
      <w:r w:rsidRPr="00B43AC9">
        <w:rPr>
          <w:rFonts w:cs="Calibri"/>
          <w:i/>
          <w:szCs w:val="22"/>
        </w:rPr>
        <w:t xml:space="preserve">składniki aktywów finansowych, dla których nie istnieje cena rynkowa ustalona w aktywnym obrocie regulowanym albo </w:t>
      </w:r>
      <w:r w:rsidR="00D646D2" w:rsidRPr="00B43AC9">
        <w:rPr>
          <w:rFonts w:cs="Calibri"/>
          <w:i/>
          <w:szCs w:val="22"/>
        </w:rPr>
        <w:t xml:space="preserve">dla </w:t>
      </w:r>
      <w:r w:rsidRPr="00B43AC9">
        <w:rPr>
          <w:rFonts w:cs="Calibri"/>
          <w:i/>
          <w:szCs w:val="22"/>
        </w:rPr>
        <w:t>których wartość godziwa nie może być ustalona w inny wiarygodny sposób</w:t>
      </w:r>
      <w:r w:rsidR="00D646D2" w:rsidRPr="00B43AC9">
        <w:rPr>
          <w:rFonts w:cs="Calibri"/>
          <w:i/>
          <w:szCs w:val="22"/>
        </w:rPr>
        <w:t>, wyceny dokonuje się według:</w:t>
      </w:r>
    </w:p>
    <w:p w14:paraId="25391FC4" w14:textId="6137210D" w:rsidR="00D646D2" w:rsidRPr="00B43AC9" w:rsidRDefault="0049343A" w:rsidP="0049343A">
      <w:pPr>
        <w:pStyle w:val="Nagwek"/>
        <w:tabs>
          <w:tab w:val="center" w:pos="709"/>
        </w:tabs>
        <w:spacing w:before="0" w:after="0"/>
        <w:jc w:val="left"/>
        <w:rPr>
          <w:rFonts w:cs="Calibri"/>
          <w:i/>
          <w:szCs w:val="22"/>
        </w:rPr>
      </w:pPr>
      <w:r>
        <w:rPr>
          <w:rFonts w:cs="Calibri"/>
          <w:i/>
          <w:szCs w:val="22"/>
        </w:rPr>
        <w:t xml:space="preserve"> - </w:t>
      </w:r>
      <w:r w:rsidR="00D646D2" w:rsidRPr="00B43AC9">
        <w:rPr>
          <w:rFonts w:cs="Calibri"/>
          <w:i/>
          <w:szCs w:val="22"/>
        </w:rPr>
        <w:t>aktywa finansowe, dla których jest ustalony termin wymagalności - w wysokości skorygowanej ceny nabycia oszacowanej za pomocą efektywnej stopy procentowej,</w:t>
      </w:r>
    </w:p>
    <w:p w14:paraId="1B847826" w14:textId="67D68689" w:rsidR="00D646D2" w:rsidRPr="00B43AC9" w:rsidRDefault="0049343A" w:rsidP="0049343A">
      <w:pPr>
        <w:pStyle w:val="Nagwek"/>
        <w:tabs>
          <w:tab w:val="clear" w:pos="4536"/>
          <w:tab w:val="center" w:pos="709"/>
        </w:tabs>
        <w:spacing w:before="0" w:after="0"/>
        <w:jc w:val="left"/>
        <w:rPr>
          <w:rFonts w:cs="Calibri"/>
          <w:i/>
          <w:szCs w:val="22"/>
        </w:rPr>
      </w:pPr>
      <w:r>
        <w:rPr>
          <w:rFonts w:cs="Calibri"/>
          <w:i/>
          <w:szCs w:val="22"/>
        </w:rPr>
        <w:t xml:space="preserve"> - </w:t>
      </w:r>
      <w:r w:rsidR="00D646D2" w:rsidRPr="00B43AC9">
        <w:rPr>
          <w:rFonts w:cs="Calibri"/>
          <w:i/>
          <w:szCs w:val="22"/>
        </w:rPr>
        <w:t>aktywa finansowe, dla których nie jest ustalony termin wymagalności - w cenie nabycia ustalonej w</w:t>
      </w:r>
      <w:r w:rsidR="00A86953">
        <w:rPr>
          <w:rFonts w:cs="Calibri"/>
          <w:i/>
          <w:szCs w:val="22"/>
        </w:rPr>
        <w:t> </w:t>
      </w:r>
      <w:r w:rsidR="00D646D2" w:rsidRPr="00B43AC9">
        <w:rPr>
          <w:rFonts w:cs="Calibri"/>
          <w:i/>
          <w:szCs w:val="22"/>
        </w:rPr>
        <w:t>sposób określony przy wprowadzaniu instrumentów finansowych do ksiąg.</w:t>
      </w:r>
    </w:p>
    <w:p w14:paraId="44020A65" w14:textId="77777777" w:rsidR="008370A8" w:rsidRPr="00B43AC9" w:rsidRDefault="008370A8" w:rsidP="00FB4346">
      <w:pPr>
        <w:pStyle w:val="Nagwek"/>
        <w:tabs>
          <w:tab w:val="clear" w:pos="4536"/>
          <w:tab w:val="center" w:pos="709"/>
        </w:tabs>
        <w:spacing w:before="0" w:after="0"/>
        <w:ind w:left="142"/>
        <w:jc w:val="left"/>
        <w:rPr>
          <w:rFonts w:cs="Calibri"/>
          <w:i/>
          <w:szCs w:val="22"/>
        </w:rPr>
      </w:pPr>
      <w:bookmarkStart w:id="19" w:name="_Hlk90670608"/>
      <w:r w:rsidRPr="00B43AC9">
        <w:rPr>
          <w:rFonts w:cs="Calibri"/>
          <w:i/>
          <w:szCs w:val="22"/>
        </w:rPr>
        <w:t xml:space="preserve">Zyski i straty z przeszacowania na dzień bilansowy </w:t>
      </w:r>
      <w:r w:rsidR="001A3E58" w:rsidRPr="00B43AC9">
        <w:rPr>
          <w:rFonts w:cs="Calibri"/>
          <w:i/>
          <w:szCs w:val="22"/>
        </w:rPr>
        <w:t>wyżej opisanych aktywów finansowych</w:t>
      </w:r>
      <w:r w:rsidRPr="00B43AC9">
        <w:rPr>
          <w:rFonts w:cs="Calibri"/>
          <w:i/>
          <w:szCs w:val="22"/>
        </w:rPr>
        <w:t xml:space="preserve"> odnoszone są odpowiednio do przychodów i kosztów finansowych okresu sprawozdawczego</w:t>
      </w:r>
      <w:r w:rsidR="001A3E58" w:rsidRPr="00B43AC9">
        <w:rPr>
          <w:rFonts w:cs="Calibri"/>
          <w:i/>
          <w:szCs w:val="22"/>
        </w:rPr>
        <w:t>.</w:t>
      </w:r>
    </w:p>
    <w:bookmarkEnd w:id="19"/>
    <w:p w14:paraId="1D558E33" w14:textId="77777777" w:rsidR="008370A8" w:rsidRDefault="00901361" w:rsidP="00FB4346">
      <w:pPr>
        <w:jc w:val="left"/>
      </w:pPr>
      <w:r w:rsidRPr="00C75EDE">
        <w:t>Na dzień bilansowy zobowiązania finansowe przeznaczone do obrotu wycenia się według wartości godziwej. Inne zobowiązania finansowe na dzień bilansowy są wykazywane według skorygowanej ceny nabycia.</w:t>
      </w:r>
      <w:r w:rsidR="008370A8">
        <w:t xml:space="preserve"> </w:t>
      </w:r>
    </w:p>
    <w:p w14:paraId="763CF545" w14:textId="77777777" w:rsidR="00901361" w:rsidRDefault="00901361" w:rsidP="00FB4346">
      <w:pPr>
        <w:jc w:val="left"/>
        <w:rPr>
          <w:i/>
          <w:color w:val="FF0000"/>
        </w:rPr>
      </w:pPr>
      <w:r w:rsidRPr="00C75EDE">
        <w:t>Zyski i straty z przeszacowania na dzień bilansowy zobowiązań odnoszone są</w:t>
      </w:r>
      <w:r w:rsidR="00F36EB7" w:rsidRPr="00C75EDE">
        <w:t> </w:t>
      </w:r>
      <w:r w:rsidRPr="00C75EDE">
        <w:t>odpowiednio do przychodów i kosztów finansowych okresu sprawozdawczego.</w:t>
      </w:r>
      <w:r w:rsidR="00592841" w:rsidRPr="00C75EDE">
        <w:rPr>
          <w:i/>
          <w:color w:val="FF0000"/>
        </w:rPr>
        <w:t xml:space="preserve"> </w:t>
      </w:r>
    </w:p>
    <w:p w14:paraId="1B9A417E" w14:textId="77777777" w:rsidR="00901361" w:rsidRPr="00C75EDE" w:rsidRDefault="00901361" w:rsidP="00FB4346">
      <w:pPr>
        <w:jc w:val="left"/>
      </w:pPr>
      <w:r w:rsidRPr="00C75EDE">
        <w:t>W przypadku aktywów i zobowiązań finansowych wycenionych w wysokości skorygowanej ceny nabycia (z wyjątkiem pozycji zabezpieczanych i zabezpieczających) odpis z tytułu dyskonta lub premii oraz pozostałe różnice ustalone na dzień wyłączenia ich z ksiąg rachunkowych, zalicza się odpowiednio do przychodów lub kosztów finansowych z tytułu odsetek okresu sprawozdawczego.</w:t>
      </w:r>
    </w:p>
    <w:p w14:paraId="07CF4822" w14:textId="32ED3852" w:rsidR="00901361" w:rsidRPr="00C75EDE" w:rsidRDefault="00901361" w:rsidP="00FB4346">
      <w:pPr>
        <w:jc w:val="left"/>
      </w:pPr>
      <w:r w:rsidRPr="00C75EDE">
        <w:t>Wbudowany instrument pochod</w:t>
      </w:r>
      <w:r w:rsidR="00231F07">
        <w:t>n</w:t>
      </w:r>
      <w:r w:rsidRPr="00C75EDE">
        <w:t>y wycenia się na dzień ujęcia w księgach oraz na dzień bilansowy według wartości godziwej. Różnica między wartością godziwą ustaloną na dzień bilansowy, a</w:t>
      </w:r>
      <w:r w:rsidR="00F36EB7" w:rsidRPr="00C75EDE">
        <w:t> </w:t>
      </w:r>
      <w:r w:rsidRPr="00C75EDE">
        <w:t>wartością godziwą na dzień ujęcia w księgach odnoszona jest na wynik z operacji finansowych.</w:t>
      </w:r>
    </w:p>
    <w:p w14:paraId="360EED29" w14:textId="77777777" w:rsidR="00901361" w:rsidRPr="00C75EDE" w:rsidRDefault="00901361" w:rsidP="00FB4346">
      <w:pPr>
        <w:jc w:val="left"/>
      </w:pPr>
      <w:r w:rsidRPr="00C75EDE">
        <w:t xml:space="preserve">Instrumenty pochodne stanowiące instrument zabezpieczający, będące zabezpieczeniem wartości godziwej wycenia się w wartości godziwej, a zmianę odnosi </w:t>
      </w:r>
      <w:r w:rsidR="00592841" w:rsidRPr="00C75EDE">
        <w:t xml:space="preserve">się na </w:t>
      </w:r>
      <w:r w:rsidRPr="00C75EDE">
        <w:t>wynik z operacji finansowych.</w:t>
      </w:r>
    </w:p>
    <w:p w14:paraId="75AD0932" w14:textId="77777777" w:rsidR="00901361" w:rsidRPr="00C75EDE" w:rsidRDefault="00901361" w:rsidP="00FB4346">
      <w:pPr>
        <w:jc w:val="left"/>
      </w:pPr>
      <w:r w:rsidRPr="00C75EDE">
        <w:t>Instrumenty pochodne stanowiące instrument zabezpieczający, będący zabezpieczeniem przepływów pieniężnych wycenia się w wartości godziwej, a zmian</w:t>
      </w:r>
      <w:r w:rsidR="00592841" w:rsidRPr="00C75EDE">
        <w:t>ę</w:t>
      </w:r>
      <w:r w:rsidRPr="00C75EDE">
        <w:t xml:space="preserve"> odnosi na kapitał z aktualizacji wyceny w</w:t>
      </w:r>
      <w:r w:rsidR="00F36EB7" w:rsidRPr="00C75EDE">
        <w:t> </w:t>
      </w:r>
      <w:r w:rsidRPr="00C75EDE">
        <w:t xml:space="preserve">części stanowiącej efektywne zabezpieczenie oraz na wynik z operacji finansowych w części </w:t>
      </w:r>
      <w:r w:rsidR="00490536" w:rsidRPr="00C75EDE">
        <w:t>niestanowiącej</w:t>
      </w:r>
      <w:r w:rsidRPr="00C75EDE">
        <w:t xml:space="preserve"> efektywnego zabezpieczenia.</w:t>
      </w:r>
    </w:p>
    <w:p w14:paraId="0A46B210" w14:textId="34F487C7" w:rsidR="001C371A" w:rsidRPr="00B43AC9" w:rsidRDefault="00DF63BE" w:rsidP="00FB4346">
      <w:pPr>
        <w:pStyle w:val="Nagwek1"/>
        <w:numPr>
          <w:ilvl w:val="1"/>
          <w:numId w:val="5"/>
        </w:numPr>
        <w:ind w:left="993" w:hanging="709"/>
        <w:jc w:val="left"/>
      </w:pPr>
      <w:r w:rsidRPr="00DF63BE">
        <w:t xml:space="preserve">Ustalanie przychodów z niezakończonych, </w:t>
      </w:r>
      <w:bookmarkStart w:id="20" w:name="_Hlk194136397"/>
      <w:r w:rsidRPr="00DF63BE">
        <w:t>długotrwałych umów o usługi</w:t>
      </w:r>
      <w:bookmarkEnd w:id="20"/>
    </w:p>
    <w:p w14:paraId="59DF7B97" w14:textId="12675F7F" w:rsidR="00264604" w:rsidRDefault="00264604" w:rsidP="00FB4346">
      <w:pPr>
        <w:jc w:val="left"/>
      </w:pPr>
      <w:r w:rsidRPr="00B11F99">
        <w:rPr>
          <w:highlight w:val="yellow"/>
        </w:rPr>
        <w:t>Zarówno w roku obrotowym</w:t>
      </w:r>
      <w:r w:rsidR="00056E54" w:rsidRPr="00B11F99">
        <w:rPr>
          <w:highlight w:val="yellow"/>
        </w:rPr>
        <w:t>,</w:t>
      </w:r>
      <w:r w:rsidRPr="00B11F99">
        <w:rPr>
          <w:highlight w:val="yellow"/>
        </w:rPr>
        <w:t xml:space="preserve"> jak i w roku </w:t>
      </w:r>
      <w:r w:rsidR="00056E54" w:rsidRPr="00B11F99">
        <w:rPr>
          <w:highlight w:val="yellow"/>
        </w:rPr>
        <w:t>poprzednim</w:t>
      </w:r>
      <w:r w:rsidRPr="00B11F99">
        <w:rPr>
          <w:highlight w:val="yellow"/>
        </w:rPr>
        <w:t xml:space="preserve"> Spółka nie była stroną umów, które należałoby rozliczać zgodnie z zasadami określonymi w art. 34a - 34d ustawy o rachunkowości (tzw. kontrakty długoterminowe).</w:t>
      </w:r>
    </w:p>
    <w:p w14:paraId="2EDEC6AC" w14:textId="77777777" w:rsidR="00ED2990" w:rsidRDefault="00ED2990" w:rsidP="00ED2990">
      <w:pPr>
        <w:jc w:val="left"/>
        <w:rPr>
          <w:highlight w:val="yellow"/>
        </w:rPr>
      </w:pPr>
      <w:r w:rsidRPr="00A76578">
        <w:rPr>
          <w:i/>
          <w:iCs/>
          <w:color w:val="FF0000"/>
        </w:rPr>
        <w:lastRenderedPageBreak/>
        <w:t>(lub</w:t>
      </w:r>
      <w:r>
        <w:rPr>
          <w:i/>
          <w:iCs/>
          <w:color w:val="FF0000"/>
        </w:rPr>
        <w:t>)</w:t>
      </w:r>
    </w:p>
    <w:p w14:paraId="5529BCB2" w14:textId="6754BCB8" w:rsidR="001C371A" w:rsidRDefault="00ED2990" w:rsidP="00FB4346">
      <w:pPr>
        <w:jc w:val="left"/>
      </w:pPr>
      <w:r w:rsidRPr="00ED2990">
        <w:t xml:space="preserve">Spółka była stroną umów, do których zastosowanie znajdują </w:t>
      </w:r>
      <w:r w:rsidRPr="00C063E8">
        <w:t>art. 34a - 34d ustawy o rachunkowości (tzw. kontrakty długoterminowe)</w:t>
      </w:r>
      <w:r w:rsidRPr="00ED2990">
        <w:t>.</w:t>
      </w:r>
      <w:r>
        <w:t xml:space="preserve"> </w:t>
      </w:r>
      <w:bookmarkStart w:id="21" w:name="_Hlk194136134"/>
      <w:r w:rsidR="001C371A">
        <w:t xml:space="preserve">W zakresie wyceny </w:t>
      </w:r>
      <w:r>
        <w:t xml:space="preserve">tych </w:t>
      </w:r>
      <w:r w:rsidR="001C371A">
        <w:t xml:space="preserve">kontraktów Spółka stosuje </w:t>
      </w:r>
      <w:r w:rsidR="001C371A" w:rsidRPr="00807E3A">
        <w:rPr>
          <w:highlight w:val="yellow"/>
        </w:rPr>
        <w:t xml:space="preserve">metodę stopnia zaawansowania, </w:t>
      </w:r>
      <w:r w:rsidR="00672293">
        <w:rPr>
          <w:highlight w:val="yellow"/>
        </w:rPr>
        <w:t>jeśli</w:t>
      </w:r>
      <w:r w:rsidR="001C371A" w:rsidRPr="00807E3A">
        <w:rPr>
          <w:highlight w:val="yellow"/>
        </w:rPr>
        <w:t xml:space="preserve"> można wiarygodnie oszacować wynik umowy o usługę</w:t>
      </w:r>
      <w:r w:rsidR="00B17499">
        <w:rPr>
          <w:highlight w:val="yellow"/>
        </w:rPr>
        <w:t xml:space="preserve">. </w:t>
      </w:r>
      <w:r w:rsidR="00B17499" w:rsidRPr="00B17499">
        <w:rPr>
          <w:highlight w:val="yellow"/>
        </w:rPr>
        <w:t xml:space="preserve">Jeżeli </w:t>
      </w:r>
      <w:r w:rsidR="00B17499">
        <w:rPr>
          <w:highlight w:val="yellow"/>
        </w:rPr>
        <w:t xml:space="preserve">natomiast </w:t>
      </w:r>
      <w:r w:rsidR="00B17499" w:rsidRPr="00B17499">
        <w:rPr>
          <w:highlight w:val="yellow"/>
        </w:rPr>
        <w:t>stopień zaawansowania niezakończonej usługi</w:t>
      </w:r>
      <w:r>
        <w:rPr>
          <w:highlight w:val="yellow"/>
        </w:rPr>
        <w:t xml:space="preserve"> </w:t>
      </w:r>
      <w:r w:rsidR="00B17499" w:rsidRPr="00B17499">
        <w:rPr>
          <w:highlight w:val="yellow"/>
        </w:rPr>
        <w:t>lub przewidywany całkowity koszt jej wykonania nie może być na dzień bilansowy ustalony w sposób wiarygodny</w:t>
      </w:r>
      <w:r w:rsidR="00B17499">
        <w:rPr>
          <w:highlight w:val="yellow"/>
        </w:rPr>
        <w:t xml:space="preserve">, Spółka do wyceny kontraktu stosuje </w:t>
      </w:r>
      <w:r w:rsidR="001C371A" w:rsidRPr="00807E3A">
        <w:rPr>
          <w:highlight w:val="yellow"/>
        </w:rPr>
        <w:t>metodę zysku zerowego</w:t>
      </w:r>
      <w:r w:rsidR="001C371A">
        <w:t>.</w:t>
      </w:r>
    </w:p>
    <w:p w14:paraId="0FD9447A" w14:textId="5C7FFCC3" w:rsidR="00ED2990" w:rsidRPr="00A76578" w:rsidRDefault="00ED2990" w:rsidP="00ED2990">
      <w:pPr>
        <w:jc w:val="left"/>
        <w:rPr>
          <w:highlight w:val="cyan"/>
        </w:rPr>
      </w:pPr>
      <w:r>
        <w:rPr>
          <w:highlight w:val="yellow"/>
        </w:rPr>
        <w:t xml:space="preserve">Dla kontraktów, które Spółka wycenia metodą </w:t>
      </w:r>
      <w:r w:rsidRPr="00C063E8">
        <w:rPr>
          <w:highlight w:val="yellow"/>
        </w:rPr>
        <w:t xml:space="preserve">stopnia zaawansowania, </w:t>
      </w:r>
      <w:r w:rsidRPr="00ED2990">
        <w:rPr>
          <w:highlight w:val="yellow"/>
        </w:rPr>
        <w:t>przychody w okresie od dnia zawarcia umowy do dnia bilansowego - po odliczeniu przychodów, które wpłynęły na wynik finansowy w ubiegłych okresach sprawozdawczych - ustala się proporcjonalnie do stopnia jej zaawansowania.</w:t>
      </w:r>
      <w:r w:rsidR="00571D7D">
        <w:rPr>
          <w:highlight w:val="yellow"/>
        </w:rPr>
        <w:t xml:space="preserve"> </w:t>
      </w:r>
      <w:r w:rsidR="00B17499" w:rsidRPr="00B17499">
        <w:rPr>
          <w:highlight w:val="cyan"/>
        </w:rPr>
        <w:t>Stopień zaawansowania usługi mierzy się</w:t>
      </w:r>
      <w:r w:rsidR="00B17499" w:rsidRPr="00C063E8">
        <w:rPr>
          <w:highlight w:val="cyan"/>
        </w:rPr>
        <w:t xml:space="preserve"> </w:t>
      </w:r>
      <w:r w:rsidR="001C371A" w:rsidRPr="00C063E8">
        <w:rPr>
          <w:highlight w:val="cyan"/>
        </w:rPr>
        <w:t>przy zastosowaniu metody obmiaru prac (od efektu), jeżeli stopień ten, jak również przewidywane całkowite koszty wykonania usługi za cały czas jej realizacji, można ustalić w sposób wiarygodny (art. 34a</w:t>
      </w:r>
      <w:r w:rsidR="00F46C65" w:rsidRPr="00C063E8">
        <w:rPr>
          <w:highlight w:val="cyan"/>
        </w:rPr>
        <w:t xml:space="preserve"> ust. </w:t>
      </w:r>
      <w:r w:rsidR="001C371A" w:rsidRPr="00C063E8">
        <w:rPr>
          <w:highlight w:val="cyan"/>
        </w:rPr>
        <w:t>1).</w:t>
      </w:r>
      <w:r>
        <w:rPr>
          <w:highlight w:val="cyan"/>
        </w:rPr>
        <w:t xml:space="preserve"> </w:t>
      </w:r>
      <w:r w:rsidRPr="00A76578">
        <w:rPr>
          <w:highlight w:val="cyan"/>
        </w:rPr>
        <w:t>Metoda obmiaru wykonanych prac polega na pomiarze wykonanych od rozpoczęcia umowy do dnia bilansowego prac wyrażonych w kwotach bezwzględnych lub w procencie ceny umownej bądź jej składowych. Pomiary te przeprowadzają specjaliści wewnętrzni lub zewnętrzni Jednostki, posiadający odpowiednią wiedzę techniczną, stosowaną do rodzaju realizowanych robót budowlanych oraz dysponującymi odpowiednimi cenami lub ich ekwiwalentami.</w:t>
      </w:r>
    </w:p>
    <w:p w14:paraId="3D38CAF0" w14:textId="1D24A60F" w:rsidR="001C371A" w:rsidRDefault="00B17499" w:rsidP="00FB4346">
      <w:pPr>
        <w:jc w:val="left"/>
        <w:rPr>
          <w:highlight w:val="yellow"/>
        </w:rPr>
      </w:pPr>
      <w:r w:rsidRPr="00C063E8">
        <w:rPr>
          <w:i/>
          <w:iCs/>
          <w:color w:val="FF0000"/>
        </w:rPr>
        <w:t>(lub</w:t>
      </w:r>
      <w:r>
        <w:rPr>
          <w:i/>
          <w:iCs/>
          <w:color w:val="FF0000"/>
        </w:rPr>
        <w:t>)</w:t>
      </w:r>
    </w:p>
    <w:p w14:paraId="3BE46F7D" w14:textId="1C286D99" w:rsidR="00ED2990" w:rsidRDefault="00ED2990" w:rsidP="000557CC">
      <w:pPr>
        <w:jc w:val="left"/>
        <w:rPr>
          <w:highlight w:val="cyan"/>
        </w:rPr>
      </w:pPr>
      <w:r>
        <w:rPr>
          <w:highlight w:val="yellow"/>
        </w:rPr>
        <w:t xml:space="preserve">Dla kontraktów, które Spółka wycenia metodą </w:t>
      </w:r>
      <w:r w:rsidRPr="00A76578">
        <w:rPr>
          <w:highlight w:val="yellow"/>
        </w:rPr>
        <w:t xml:space="preserve">stopnia zaawansowania, </w:t>
      </w:r>
      <w:r w:rsidRPr="00ED2990">
        <w:rPr>
          <w:highlight w:val="yellow"/>
        </w:rPr>
        <w:t>przychody w okresie od dnia zawarcia umowy do dnia bilansowego - po odliczeniu przychodów, które wpłynęły na wynik finansowy w ubiegłych okresach sprawozdawczych - ustala się proporcjonalnie do stopnia jej zaawansowania.</w:t>
      </w:r>
      <w:r w:rsidRPr="00A76578">
        <w:t xml:space="preserve"> </w:t>
      </w:r>
      <w:r w:rsidR="000557CC" w:rsidRPr="000557CC">
        <w:rPr>
          <w:highlight w:val="cyan"/>
        </w:rPr>
        <w:t xml:space="preserve">Stopień zaawansowania usługi mierzy się udziałem kosztów poniesionych od dnia zawarcia umowy do dnia ustalenia przychodu </w:t>
      </w:r>
      <w:r w:rsidR="00F6318C">
        <w:rPr>
          <w:highlight w:val="cyan"/>
        </w:rPr>
        <w:t xml:space="preserve">(do wsadu) </w:t>
      </w:r>
      <w:r w:rsidR="000557CC" w:rsidRPr="000557CC">
        <w:rPr>
          <w:highlight w:val="cyan"/>
        </w:rPr>
        <w:t>w całkowitych kosztach wykonania usługi</w:t>
      </w:r>
      <w:r w:rsidR="00563D9D">
        <w:rPr>
          <w:highlight w:val="cyan"/>
        </w:rPr>
        <w:t xml:space="preserve">, </w:t>
      </w:r>
      <w:r>
        <w:rPr>
          <w:highlight w:val="cyan"/>
        </w:rPr>
        <w:br/>
      </w:r>
      <w:r w:rsidR="00563D9D">
        <w:rPr>
          <w:highlight w:val="cyan"/>
        </w:rPr>
        <w:t xml:space="preserve">o ile udział tych kosztów wiarygodnie odzwierciedla </w:t>
      </w:r>
      <w:r w:rsidR="000557CC" w:rsidRPr="000557CC">
        <w:rPr>
          <w:highlight w:val="cyan"/>
        </w:rPr>
        <w:t>stopień zaawansowania usługi, jak również przewidywane całkowite koszty wykonania usługi za cały czas jej realizacji można ustalić w sposób wiarygodny (art. 34a</w:t>
      </w:r>
      <w:r w:rsidR="00F46C65">
        <w:rPr>
          <w:highlight w:val="cyan"/>
        </w:rPr>
        <w:t xml:space="preserve"> ust. </w:t>
      </w:r>
      <w:r w:rsidR="000557CC" w:rsidRPr="000557CC">
        <w:rPr>
          <w:highlight w:val="cyan"/>
        </w:rPr>
        <w:t>1)</w:t>
      </w:r>
      <w:r w:rsidR="000557CC" w:rsidRPr="00B17499">
        <w:rPr>
          <w:highlight w:val="cyan"/>
        </w:rPr>
        <w:t>.</w:t>
      </w:r>
      <w:r w:rsidR="00B17499" w:rsidRPr="00B17499">
        <w:rPr>
          <w:highlight w:val="cyan"/>
        </w:rPr>
        <w:t xml:space="preserve"> </w:t>
      </w:r>
    </w:p>
    <w:p w14:paraId="4BC05168" w14:textId="39BE9634" w:rsidR="00ED2990" w:rsidRPr="00C063E8" w:rsidRDefault="00ED2990" w:rsidP="000557CC">
      <w:pPr>
        <w:jc w:val="left"/>
        <w:rPr>
          <w:highlight w:val="yellow"/>
        </w:rPr>
      </w:pPr>
      <w:r w:rsidRPr="00C063E8">
        <w:rPr>
          <w:highlight w:val="yellow"/>
        </w:rPr>
        <w:t>Koszty wytworzenia niezakończonej usługi, w tym budowlanej, obejmują koszty poniesione od dnia zawarcia odpowiedniej umowy do dnia bilansowego. Koszty poniesione przed zawarciem umowy, związane z realizacją jej przedmiotu, zaliczane są do aktywów, jeżeli pokrycie w przyszłości tych kosztów przychodami uzyskanymi od zamawiającego jest prawdopodobne.</w:t>
      </w:r>
    </w:p>
    <w:p w14:paraId="0F291DD9" w14:textId="4B97C902" w:rsidR="00B17499" w:rsidRPr="00807E3A" w:rsidRDefault="001C371A" w:rsidP="00B17499">
      <w:pPr>
        <w:jc w:val="left"/>
        <w:rPr>
          <w:highlight w:val="yellow"/>
        </w:rPr>
      </w:pPr>
      <w:r w:rsidRPr="00807E3A">
        <w:rPr>
          <w:highlight w:val="yellow"/>
        </w:rPr>
        <w:t>Koszty osiągnięcia przychodów powiększa ewentualna rezerwa na stratę na kontrakcie.</w:t>
      </w:r>
      <w:r w:rsidR="00ED2990">
        <w:rPr>
          <w:highlight w:val="yellow"/>
        </w:rPr>
        <w:t xml:space="preserve"> </w:t>
      </w:r>
      <w:r w:rsidR="00B17499" w:rsidRPr="00807E3A">
        <w:rPr>
          <w:highlight w:val="yellow"/>
        </w:rPr>
        <w:t>Przewidywaną stratę z umowy ujmuje się jako koszty niezwłocznie.</w:t>
      </w:r>
    </w:p>
    <w:p w14:paraId="09E60CC1" w14:textId="58109298" w:rsidR="001C371A" w:rsidRPr="00807E3A" w:rsidRDefault="001C371A" w:rsidP="00FB4346">
      <w:pPr>
        <w:jc w:val="left"/>
        <w:rPr>
          <w:highlight w:val="yellow"/>
        </w:rPr>
      </w:pPr>
      <w:r w:rsidRPr="00807E3A">
        <w:rPr>
          <w:highlight w:val="yellow"/>
        </w:rPr>
        <w:t>W sytuacji, gdy Spółka nie może wiarygodnie oszacować wyniku umowy o usługę</w:t>
      </w:r>
      <w:r w:rsidR="00ED2990">
        <w:rPr>
          <w:highlight w:val="yellow"/>
        </w:rPr>
        <w:t>,</w:t>
      </w:r>
      <w:r w:rsidRPr="00807E3A">
        <w:rPr>
          <w:highlight w:val="yellow"/>
        </w:rPr>
        <w:t xml:space="preserve"> </w:t>
      </w:r>
      <w:r w:rsidR="00ED2990">
        <w:rPr>
          <w:highlight w:val="yellow"/>
        </w:rPr>
        <w:t>Jednostka nie stosuje metody stopnia zaawansowania. Kontrakty wyceniane są wówczas metodą zysku zerowego, w tym:</w:t>
      </w:r>
    </w:p>
    <w:p w14:paraId="4C9B8D4D" w14:textId="72941E55" w:rsidR="00ED2990" w:rsidRPr="00807E3A" w:rsidRDefault="0049343A" w:rsidP="0049343A">
      <w:pPr>
        <w:pStyle w:val="Tekstpodstawowy2"/>
        <w:spacing w:before="0" w:after="0"/>
        <w:jc w:val="left"/>
        <w:rPr>
          <w:rFonts w:cs="Calibri"/>
          <w:sz w:val="22"/>
          <w:szCs w:val="22"/>
          <w:highlight w:val="yellow"/>
        </w:rPr>
      </w:pPr>
      <w:r>
        <w:rPr>
          <w:rFonts w:cs="Calibri"/>
          <w:sz w:val="22"/>
          <w:szCs w:val="22"/>
          <w:highlight w:val="yellow"/>
        </w:rPr>
        <w:t xml:space="preserve"> - </w:t>
      </w:r>
      <w:r w:rsidR="00ED2990" w:rsidRPr="00807E3A">
        <w:rPr>
          <w:rFonts w:cs="Calibri"/>
          <w:sz w:val="22"/>
          <w:szCs w:val="22"/>
          <w:highlight w:val="yellow"/>
        </w:rPr>
        <w:t xml:space="preserve">koszty umowy </w:t>
      </w:r>
      <w:r w:rsidR="00ED2990">
        <w:rPr>
          <w:rFonts w:cs="Calibri"/>
          <w:sz w:val="22"/>
          <w:szCs w:val="22"/>
          <w:highlight w:val="yellow"/>
        </w:rPr>
        <w:t xml:space="preserve">Spółka </w:t>
      </w:r>
      <w:r w:rsidR="00ED2990" w:rsidRPr="00807E3A">
        <w:rPr>
          <w:rFonts w:cs="Calibri"/>
          <w:sz w:val="22"/>
          <w:szCs w:val="22"/>
          <w:highlight w:val="yellow"/>
        </w:rPr>
        <w:t>ujmuje jako koszt tego okresu, w którym zostały poniesione,</w:t>
      </w:r>
    </w:p>
    <w:p w14:paraId="59840122" w14:textId="758717DB" w:rsidR="001C371A" w:rsidRPr="00807E3A" w:rsidRDefault="0049343A" w:rsidP="0049343A">
      <w:pPr>
        <w:pStyle w:val="Tekstpodstawowy2"/>
        <w:spacing w:before="0" w:after="0"/>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 xml:space="preserve">przychody </w:t>
      </w:r>
      <w:r w:rsidR="00ED2990">
        <w:rPr>
          <w:rFonts w:cs="Calibri"/>
          <w:sz w:val="22"/>
          <w:szCs w:val="22"/>
          <w:highlight w:val="yellow"/>
        </w:rPr>
        <w:t xml:space="preserve">umowy Jednostka </w:t>
      </w:r>
      <w:r w:rsidR="001C371A" w:rsidRPr="00807E3A">
        <w:rPr>
          <w:rFonts w:cs="Calibri"/>
          <w:sz w:val="22"/>
          <w:szCs w:val="22"/>
          <w:highlight w:val="yellow"/>
        </w:rPr>
        <w:t>ujmuje wyłącznie do wysokości poniesionych kosztów umowy, dla których istnieje prawdopodobieństwo ich odzyskania,</w:t>
      </w:r>
    </w:p>
    <w:p w14:paraId="18372D58" w14:textId="6A2D61DB" w:rsidR="001C371A" w:rsidRPr="00807E3A" w:rsidRDefault="0049343A" w:rsidP="0049343A">
      <w:pPr>
        <w:pStyle w:val="Tekstpodstawowy2"/>
        <w:spacing w:before="0" w:after="0"/>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przewidywaną stratę z umowy ujmuje się jako koszt niezwłocznie.</w:t>
      </w:r>
    </w:p>
    <w:p w14:paraId="4C54A14C" w14:textId="505CE8F2" w:rsidR="00ED2990" w:rsidRDefault="00ED2990" w:rsidP="00FB4346">
      <w:pPr>
        <w:jc w:val="left"/>
        <w:rPr>
          <w:highlight w:val="yellow"/>
        </w:rPr>
      </w:pPr>
      <w:r w:rsidRPr="00ED2990">
        <w:rPr>
          <w:highlight w:val="yellow"/>
        </w:rPr>
        <w:t xml:space="preserve">Poprawność przyjętych metod ustalania stopnia zaawansowania usługi, a także przewidywanych całkowitych kosztów i przychodów z wykonania usługi, </w:t>
      </w:r>
      <w:r>
        <w:rPr>
          <w:highlight w:val="yellow"/>
        </w:rPr>
        <w:t>jest</w:t>
      </w:r>
      <w:r w:rsidRPr="00ED2990">
        <w:rPr>
          <w:highlight w:val="yellow"/>
        </w:rPr>
        <w:t xml:space="preserve"> przez </w:t>
      </w:r>
      <w:r>
        <w:rPr>
          <w:highlight w:val="yellow"/>
        </w:rPr>
        <w:t>J</w:t>
      </w:r>
      <w:r w:rsidRPr="00ED2990">
        <w:rPr>
          <w:highlight w:val="yellow"/>
        </w:rPr>
        <w:t>ednostkę</w:t>
      </w:r>
      <w:r>
        <w:rPr>
          <w:highlight w:val="yellow"/>
        </w:rPr>
        <w:t xml:space="preserve"> weryfikowana </w:t>
      </w:r>
      <w:r w:rsidRPr="00ED2990">
        <w:rPr>
          <w:highlight w:val="yellow"/>
        </w:rPr>
        <w:t xml:space="preserve">nie później </w:t>
      </w:r>
      <w:r w:rsidRPr="00ED2990">
        <w:rPr>
          <w:highlight w:val="yellow"/>
        </w:rPr>
        <w:lastRenderedPageBreak/>
        <w:t xml:space="preserve">niż na dzień bilansowy. Spowodowane weryfikacją korekty wpływają na wynik finansowy </w:t>
      </w:r>
      <w:r>
        <w:rPr>
          <w:highlight w:val="yellow"/>
        </w:rPr>
        <w:t xml:space="preserve">Spółki </w:t>
      </w:r>
      <w:r w:rsidRPr="00ED2990">
        <w:rPr>
          <w:highlight w:val="yellow"/>
        </w:rPr>
        <w:t>tego okresu sprawozdawczego, w którym przeprowadzono weryfikację.</w:t>
      </w:r>
    </w:p>
    <w:p w14:paraId="17D34C8F" w14:textId="5804D462" w:rsidR="001C371A" w:rsidRPr="00807E3A" w:rsidRDefault="001C371A" w:rsidP="00FB4346">
      <w:pPr>
        <w:jc w:val="left"/>
        <w:rPr>
          <w:highlight w:val="yellow"/>
        </w:rPr>
      </w:pPr>
      <w:r w:rsidRPr="00807E3A">
        <w:rPr>
          <w:highlight w:val="yellow"/>
        </w:rPr>
        <w:t xml:space="preserve">W zakresie nieuregulowanym </w:t>
      </w:r>
      <w:r w:rsidR="00C246DA">
        <w:rPr>
          <w:highlight w:val="yellow"/>
        </w:rPr>
        <w:t>u</w:t>
      </w:r>
      <w:r w:rsidR="00C246DA" w:rsidRPr="00807E3A">
        <w:rPr>
          <w:highlight w:val="yellow"/>
        </w:rPr>
        <w:t xml:space="preserve">stawą </w:t>
      </w:r>
      <w:r w:rsidRPr="00807E3A">
        <w:rPr>
          <w:highlight w:val="yellow"/>
        </w:rPr>
        <w:t>o rachunkowości Spółka stosuje postanowienia zawarte w Krajowym Standardzie Rachunkowości nr 3 „Niezakończone usługi budowlane” (KS</w:t>
      </w:r>
      <w:r w:rsidR="00DF63BE">
        <w:rPr>
          <w:highlight w:val="yellow"/>
        </w:rPr>
        <w:t>R</w:t>
      </w:r>
      <w:r w:rsidRPr="00807E3A">
        <w:rPr>
          <w:highlight w:val="yellow"/>
        </w:rPr>
        <w:t xml:space="preserve"> nr 3), w szczególności w zakresie prezentacji w bilansie i tak:</w:t>
      </w:r>
    </w:p>
    <w:p w14:paraId="202CB748" w14:textId="32381BD5" w:rsidR="001C371A" w:rsidRPr="00807E3A" w:rsidRDefault="000C522F" w:rsidP="000C522F">
      <w:pPr>
        <w:pStyle w:val="Tekstpodstawowy2"/>
        <w:spacing w:before="0" w:after="0"/>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nadwyżka przychodów szacowanych nad należnościami zafakturowanymi (narastająco) wykazywana</w:t>
      </w:r>
      <w:r w:rsidR="00ED2990" w:rsidRPr="00ED2990">
        <w:rPr>
          <w:rFonts w:cs="Calibri"/>
          <w:sz w:val="22"/>
          <w:szCs w:val="22"/>
          <w:highlight w:val="yellow"/>
        </w:rPr>
        <w:t xml:space="preserve"> </w:t>
      </w:r>
      <w:r w:rsidR="00ED2990" w:rsidRPr="00807E3A">
        <w:rPr>
          <w:rFonts w:cs="Calibri"/>
          <w:sz w:val="22"/>
          <w:szCs w:val="22"/>
          <w:highlight w:val="yellow"/>
        </w:rPr>
        <w:t>jest</w:t>
      </w:r>
      <w:r w:rsidR="001C371A" w:rsidRPr="00807E3A">
        <w:rPr>
          <w:rFonts w:cs="Calibri"/>
          <w:sz w:val="22"/>
          <w:szCs w:val="22"/>
          <w:highlight w:val="yellow"/>
        </w:rPr>
        <w:t xml:space="preserve"> drugostronnie w aktywach bilansu w pozycji „Aktywa z tytułu niezakończonych umów budowlanych” jako należności niezafakturowane;</w:t>
      </w:r>
      <w:r w:rsidR="00ED2990">
        <w:rPr>
          <w:rFonts w:cs="Calibri"/>
          <w:sz w:val="22"/>
          <w:szCs w:val="22"/>
          <w:highlight w:val="yellow"/>
        </w:rPr>
        <w:t xml:space="preserve"> </w:t>
      </w:r>
    </w:p>
    <w:p w14:paraId="6E801ADF" w14:textId="7B2649AA" w:rsidR="001C371A" w:rsidRPr="00807E3A" w:rsidRDefault="000C522F" w:rsidP="000C522F">
      <w:pPr>
        <w:pStyle w:val="Tekstpodstawowy2"/>
        <w:spacing w:before="0" w:after="0"/>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nadwyżka należności zafakturowanych nad przychodami szacowanymi (narastająco) wykazywana jest drugostronnie w pasywach bilansu w pozycji „Rozliczenia międzyokresowe umów budowlanych” jako rozliczenia międzyokresowe przychodów (RMP);</w:t>
      </w:r>
    </w:p>
    <w:p w14:paraId="4393D56C" w14:textId="253A9299" w:rsidR="001C371A" w:rsidRPr="00807E3A" w:rsidRDefault="000C522F" w:rsidP="000C522F">
      <w:pPr>
        <w:pStyle w:val="Tekstpodstawowy2"/>
        <w:spacing w:before="0" w:after="0"/>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nadwyżka kosztów szacowanych z niezakończonych umów budowlanych nad kosztami poniesionymi wykazywana jest drugostronnie w pasywach bilansu w pozycji „Rozliczenia międzyokresowe umów budowlanych)</w:t>
      </w:r>
      <w:r w:rsidR="00563D9D">
        <w:rPr>
          <w:rFonts w:cs="Calibri"/>
          <w:sz w:val="22"/>
          <w:szCs w:val="22"/>
          <w:highlight w:val="yellow"/>
        </w:rPr>
        <w:t>”</w:t>
      </w:r>
      <w:r w:rsidR="001C371A" w:rsidRPr="00807E3A">
        <w:rPr>
          <w:rFonts w:cs="Calibri"/>
          <w:sz w:val="22"/>
          <w:szCs w:val="22"/>
          <w:highlight w:val="yellow"/>
        </w:rPr>
        <w:t xml:space="preserve"> jako bierne rozliczenia międzyokresowe kosztów (RMK bierne);</w:t>
      </w:r>
    </w:p>
    <w:p w14:paraId="196F662E" w14:textId="7BC92B7C" w:rsidR="001C371A" w:rsidRPr="00807E3A" w:rsidRDefault="000C522F" w:rsidP="000C522F">
      <w:pPr>
        <w:pStyle w:val="Tekstpodstawowy2"/>
        <w:spacing w:before="0" w:after="0" w:line="252" w:lineRule="auto"/>
        <w:jc w:val="left"/>
        <w:rPr>
          <w:rFonts w:cs="Calibri"/>
          <w:sz w:val="22"/>
          <w:szCs w:val="22"/>
          <w:highlight w:val="yellow"/>
        </w:rPr>
      </w:pPr>
      <w:r>
        <w:rPr>
          <w:rFonts w:cs="Calibri"/>
          <w:sz w:val="22"/>
          <w:szCs w:val="22"/>
          <w:highlight w:val="yellow"/>
        </w:rPr>
        <w:t xml:space="preserve"> - </w:t>
      </w:r>
      <w:r w:rsidR="001C371A" w:rsidRPr="00807E3A">
        <w:rPr>
          <w:rFonts w:cs="Calibri"/>
          <w:sz w:val="22"/>
          <w:szCs w:val="22"/>
          <w:highlight w:val="yellow"/>
        </w:rPr>
        <w:t>nadwyżka kosztów poniesionych nad kosztami szacowanymi z niezakończonych umów budowlanych wykazywana jest drugostronnie w aktywach bilansu w pozycji „Aktywa z tytułu niezakończonych umów budowlanych” jako czynne rozliczenia międzyokresowe kosztów (RMK czynne).</w:t>
      </w:r>
    </w:p>
    <w:bookmarkEnd w:id="21"/>
    <w:p w14:paraId="61AFB34C" w14:textId="4DC0BA7C" w:rsidR="001C371A" w:rsidRPr="00A06658" w:rsidRDefault="001C371A" w:rsidP="00FB4346">
      <w:pPr>
        <w:jc w:val="left"/>
      </w:pPr>
      <w:r w:rsidRPr="00447F47">
        <w:rPr>
          <w:highlight w:val="yellow"/>
        </w:rPr>
        <w:t>Spółka prezentuje rezerwę na przewidywaną stratę na kontrakcie w pozycji rozliczeń międzyokresowych (biernych)</w:t>
      </w:r>
      <w:r w:rsidR="00447F47" w:rsidRPr="00C063E8">
        <w:rPr>
          <w:highlight w:val="yellow"/>
        </w:rPr>
        <w:t xml:space="preserve"> / </w:t>
      </w:r>
      <w:r w:rsidR="00447F47" w:rsidRPr="00C063E8">
        <w:rPr>
          <w:i/>
          <w:iCs/>
          <w:color w:val="FF0000"/>
          <w:highlight w:val="yellow"/>
        </w:rPr>
        <w:t>(innej pozycji, jeśli dotyczy)</w:t>
      </w:r>
    </w:p>
    <w:p w14:paraId="2C7E5A7B" w14:textId="77777777" w:rsidR="00901361" w:rsidRPr="00B43AC9" w:rsidRDefault="00901361" w:rsidP="00FB4346">
      <w:pPr>
        <w:pStyle w:val="Nagwek1"/>
        <w:numPr>
          <w:ilvl w:val="1"/>
          <w:numId w:val="5"/>
        </w:numPr>
        <w:ind w:left="993" w:hanging="709"/>
        <w:jc w:val="left"/>
      </w:pPr>
      <w:r w:rsidRPr="00B43AC9">
        <w:t>Wynik finansowy</w:t>
      </w:r>
    </w:p>
    <w:p w14:paraId="0661DB6E" w14:textId="77B3A18C" w:rsidR="00901361" w:rsidRDefault="00901361" w:rsidP="00FB4346">
      <w:pPr>
        <w:jc w:val="left"/>
        <w:rPr>
          <w:i/>
          <w:iCs/>
          <w:color w:val="FF0000"/>
        </w:rPr>
      </w:pPr>
      <w:bookmarkStart w:id="22" w:name="_Hlk194132695"/>
      <w:commentRangeStart w:id="23"/>
      <w:r w:rsidRPr="00C75EDE">
        <w:rPr>
          <w:b/>
          <w:bCs/>
        </w:rPr>
        <w:t>Przychodem ze sprzedaży produktów</w:t>
      </w:r>
      <w:commentRangeEnd w:id="23"/>
      <w:r w:rsidR="00977DA5">
        <w:rPr>
          <w:rStyle w:val="Odwoaniedokomentarza"/>
        </w:rPr>
        <w:commentReference w:id="23"/>
      </w:r>
      <w:r w:rsidRPr="00C75EDE">
        <w:t>, tj. wyrobów gotowych i usług jest kwota należna z</w:t>
      </w:r>
      <w:r w:rsidR="00F61BEB">
        <w:t> </w:t>
      </w:r>
      <w:r w:rsidRPr="00C75EDE">
        <w:t xml:space="preserve">tego tytułu od odbiorcy, pomniejszona o należny podatek od towarów i usług. Momentem sprzedaży jest przekazanie </w:t>
      </w:r>
      <w:r w:rsidR="00CC7C83">
        <w:t>produktów lub półfabrykatów</w:t>
      </w:r>
      <w:r w:rsidR="00CC7C83" w:rsidRPr="00C75EDE">
        <w:t xml:space="preserve"> </w:t>
      </w:r>
      <w:r w:rsidRPr="00C75EDE">
        <w:t>odbiorcy</w:t>
      </w:r>
      <w:r w:rsidR="00CC7C83">
        <w:t>, odbiór przez odbiorcę usługi</w:t>
      </w:r>
      <w:r w:rsidRPr="00C75EDE">
        <w:t xml:space="preserve"> lub </w:t>
      </w:r>
      <w:r w:rsidR="00F6318C">
        <w:t xml:space="preserve">jej </w:t>
      </w:r>
      <w:r w:rsidR="00CC7C83">
        <w:t>wykonanie na jego rzecz</w:t>
      </w:r>
      <w:r w:rsidRPr="00C75EDE">
        <w:t>.</w:t>
      </w:r>
      <w:bookmarkEnd w:id="22"/>
      <w:r w:rsidRPr="00C75EDE">
        <w:t xml:space="preserve"> W przypadku </w:t>
      </w:r>
      <w:r w:rsidR="00A86953">
        <w:t>Spółki</w:t>
      </w:r>
      <w:r w:rsidR="00CC7C83" w:rsidRPr="00D259EF">
        <w:t xml:space="preserve"> </w:t>
      </w:r>
      <w:r w:rsidRPr="00CC7C83">
        <w:t>d</w:t>
      </w:r>
      <w:r w:rsidRPr="00C75EDE">
        <w:t xml:space="preserve">o przychodów ze sprzedaży produktów zalicza się przede wszystkim: </w:t>
      </w:r>
      <w:r w:rsidRPr="00C75EDE">
        <w:rPr>
          <w:i/>
          <w:iCs/>
          <w:color w:val="FF0000"/>
        </w:rPr>
        <w:t>(</w:t>
      </w:r>
      <w:r w:rsidR="00CC7C83">
        <w:rPr>
          <w:i/>
          <w:iCs/>
          <w:color w:val="FF0000"/>
        </w:rPr>
        <w:t xml:space="preserve">można </w:t>
      </w:r>
      <w:r w:rsidRPr="00C75EDE">
        <w:rPr>
          <w:i/>
          <w:iCs/>
          <w:color w:val="FF0000"/>
        </w:rPr>
        <w:t>wymienić)</w:t>
      </w:r>
    </w:p>
    <w:p w14:paraId="393F7EC4" w14:textId="5B6DB306" w:rsidR="00F6318C" w:rsidRDefault="00F6318C" w:rsidP="00FB4346">
      <w:pPr>
        <w:jc w:val="left"/>
        <w:rPr>
          <w:i/>
          <w:iCs/>
          <w:color w:val="FF0000"/>
        </w:rPr>
      </w:pPr>
      <w:r>
        <w:rPr>
          <w:i/>
          <w:iCs/>
          <w:color w:val="FF0000"/>
        </w:rPr>
        <w:t>[działalność deweloperska]</w:t>
      </w:r>
    </w:p>
    <w:p w14:paraId="1AFB95F6" w14:textId="13F65364" w:rsidR="00757595" w:rsidRPr="00B11F99" w:rsidRDefault="00757595" w:rsidP="00FB4346">
      <w:pPr>
        <w:jc w:val="left"/>
        <w:rPr>
          <w:highlight w:val="cyan"/>
        </w:rPr>
      </w:pPr>
      <w:r w:rsidRPr="00B11F99">
        <w:rPr>
          <w:highlight w:val="cyan"/>
        </w:rPr>
        <w:t xml:space="preserve">W przypadku przychodów z działalności deweloperskiej (sprzedaży lokali) za moment przekazania wyrobu uznaje się w szczególności moment, w którym deweloper zgodnie z umową przekazuje nabywcy nieruchomość (budynek) lub jego części (lokale) i związaną z tym kontrolę, znaczące ryzyko oraz korzyści. Za taki moment uznaje się zwłaszcza moment, w którym łącznie spełnione są </w:t>
      </w:r>
      <w:r w:rsidR="0061275B">
        <w:rPr>
          <w:highlight w:val="cyan"/>
        </w:rPr>
        <w:br/>
      </w:r>
      <w:r w:rsidRPr="00B11F99">
        <w:rPr>
          <w:highlight w:val="cyan"/>
        </w:rPr>
        <w:t>m.in. poniższe przesłanki:</w:t>
      </w:r>
    </w:p>
    <w:p w14:paraId="40B4B1D8" w14:textId="3183A47B" w:rsidR="00757595" w:rsidRPr="00B11F99" w:rsidRDefault="00C244EA" w:rsidP="00C244EA">
      <w:pPr>
        <w:pStyle w:val="Tekstpodstawowy2"/>
        <w:spacing w:before="0" w:after="0"/>
        <w:jc w:val="left"/>
        <w:rPr>
          <w:rFonts w:cs="Calibri"/>
          <w:szCs w:val="22"/>
          <w:highlight w:val="cyan"/>
        </w:rPr>
      </w:pPr>
      <w:r>
        <w:rPr>
          <w:rFonts w:cs="Calibri"/>
          <w:sz w:val="22"/>
          <w:szCs w:val="22"/>
          <w:highlight w:val="cyan"/>
        </w:rPr>
        <w:t xml:space="preserve"> - </w:t>
      </w:r>
      <w:r w:rsidR="00757595" w:rsidRPr="00B11F99">
        <w:rPr>
          <w:rFonts w:cs="Calibri"/>
          <w:sz w:val="22"/>
          <w:szCs w:val="22"/>
          <w:highlight w:val="cyan"/>
        </w:rPr>
        <w:t>podpisanie przez nabywcę protokołu odbioru nieruchomości, bądź jej części, zgodnie z umową przedwstępną i przekazanie kluczy do budynku, bądź lokalu</w:t>
      </w:r>
      <w:r w:rsidR="00B11F99">
        <w:rPr>
          <w:rFonts w:cs="Calibri"/>
          <w:sz w:val="22"/>
          <w:szCs w:val="22"/>
          <w:highlight w:val="cyan"/>
        </w:rPr>
        <w:t>,</w:t>
      </w:r>
    </w:p>
    <w:p w14:paraId="6F177D23" w14:textId="000A59FB" w:rsidR="00757595" w:rsidRPr="00B11F99" w:rsidRDefault="00C244EA" w:rsidP="00C244EA">
      <w:pPr>
        <w:pStyle w:val="Tekstpodstawowy2"/>
        <w:spacing w:before="0" w:after="0"/>
        <w:jc w:val="left"/>
        <w:rPr>
          <w:rFonts w:cs="Calibri"/>
          <w:szCs w:val="22"/>
          <w:highlight w:val="cyan"/>
        </w:rPr>
      </w:pPr>
      <w:r>
        <w:rPr>
          <w:rFonts w:cs="Calibri"/>
          <w:sz w:val="22"/>
          <w:szCs w:val="22"/>
          <w:highlight w:val="cyan"/>
        </w:rPr>
        <w:t xml:space="preserve"> - </w:t>
      </w:r>
      <w:r w:rsidR="00757595" w:rsidRPr="00B11F99">
        <w:rPr>
          <w:rFonts w:cs="Calibri"/>
          <w:sz w:val="22"/>
          <w:szCs w:val="22"/>
          <w:highlight w:val="cyan"/>
        </w:rPr>
        <w:t>możliwość użytkowania przez nabywcę nabytej nieruchomości lub jej części</w:t>
      </w:r>
      <w:r w:rsidR="00B11F99">
        <w:rPr>
          <w:rFonts w:cs="Calibri"/>
          <w:sz w:val="22"/>
          <w:szCs w:val="22"/>
          <w:highlight w:val="cyan"/>
        </w:rPr>
        <w:t>,</w:t>
      </w:r>
    </w:p>
    <w:p w14:paraId="7328A777" w14:textId="5AD9D07A" w:rsidR="00757595" w:rsidRPr="00B11F99" w:rsidRDefault="00C244EA" w:rsidP="00C244EA">
      <w:pPr>
        <w:pStyle w:val="Tekstpodstawowy2"/>
        <w:spacing w:before="0" w:after="0"/>
        <w:jc w:val="left"/>
        <w:rPr>
          <w:rFonts w:cs="Calibri"/>
          <w:szCs w:val="22"/>
          <w:highlight w:val="cyan"/>
        </w:rPr>
      </w:pPr>
      <w:r>
        <w:rPr>
          <w:rFonts w:cs="Calibri"/>
          <w:sz w:val="22"/>
          <w:szCs w:val="22"/>
          <w:highlight w:val="cyan"/>
        </w:rPr>
        <w:t xml:space="preserve"> - </w:t>
      </w:r>
      <w:r w:rsidR="00757595" w:rsidRPr="00B11F99">
        <w:rPr>
          <w:rFonts w:cs="Calibri"/>
          <w:sz w:val="22"/>
          <w:szCs w:val="22"/>
          <w:highlight w:val="cyan"/>
        </w:rPr>
        <w:t>otrzymanie całości zapłaty od nabywcy lub kwoty zbliżonej do całości</w:t>
      </w:r>
      <w:r w:rsidR="00B11F99">
        <w:rPr>
          <w:rFonts w:cs="Calibri"/>
          <w:sz w:val="22"/>
          <w:szCs w:val="22"/>
          <w:highlight w:val="cyan"/>
        </w:rPr>
        <w:t>,</w:t>
      </w:r>
    </w:p>
    <w:p w14:paraId="5B58735F" w14:textId="2A594B80" w:rsidR="002A4875" w:rsidRPr="004D07BE" w:rsidRDefault="00C244EA" w:rsidP="00C244EA">
      <w:pPr>
        <w:pStyle w:val="Tekstpodstawowy2"/>
        <w:spacing w:before="0" w:after="0"/>
        <w:jc w:val="left"/>
        <w:rPr>
          <w:rFonts w:cs="Calibri"/>
          <w:szCs w:val="22"/>
          <w:highlight w:val="cyan"/>
        </w:rPr>
      </w:pPr>
      <w:r>
        <w:rPr>
          <w:rFonts w:cs="Calibri"/>
          <w:sz w:val="22"/>
          <w:szCs w:val="22"/>
          <w:highlight w:val="cyan"/>
        </w:rPr>
        <w:t xml:space="preserve"> - </w:t>
      </w:r>
      <w:r w:rsidR="00757595" w:rsidRPr="00B11F99">
        <w:rPr>
          <w:rFonts w:cs="Calibri"/>
          <w:sz w:val="22"/>
          <w:szCs w:val="22"/>
          <w:highlight w:val="cyan"/>
        </w:rPr>
        <w:t>brak istotnego ryzyka po podpisaniu protokołu odbioru odstąpienia nabywcy od umowy i konieczności zwrotu wpłaconych przez niego środków.</w:t>
      </w:r>
    </w:p>
    <w:p w14:paraId="4CC67D22" w14:textId="5D6DD2F4" w:rsidR="00F6318C" w:rsidRPr="00F6318C" w:rsidRDefault="00F6318C" w:rsidP="00F6318C">
      <w:pPr>
        <w:jc w:val="left"/>
        <w:rPr>
          <w:i/>
          <w:iCs/>
          <w:color w:val="FF0000"/>
        </w:rPr>
      </w:pPr>
      <w:r w:rsidRPr="00F6318C">
        <w:rPr>
          <w:i/>
          <w:iCs/>
          <w:color w:val="FF0000"/>
        </w:rPr>
        <w:t>[umowy wieloelementowe]</w:t>
      </w:r>
    </w:p>
    <w:p w14:paraId="1A978C0F" w14:textId="184E68BC" w:rsidR="004D07BE" w:rsidRPr="004D07BE" w:rsidRDefault="00FB4346" w:rsidP="00FB4346">
      <w:pPr>
        <w:jc w:val="left"/>
        <w:rPr>
          <w:highlight w:val="yellow"/>
        </w:rPr>
      </w:pPr>
      <w:r w:rsidRPr="00FB4346">
        <w:rPr>
          <w:highlight w:val="yellow"/>
        </w:rPr>
        <w:t>P</w:t>
      </w:r>
      <w:r w:rsidR="004D07BE" w:rsidRPr="004D07BE">
        <w:rPr>
          <w:highlight w:val="yellow"/>
        </w:rPr>
        <w:t xml:space="preserve">rzychody z umowy </w:t>
      </w:r>
      <w:r w:rsidRPr="00FB4346">
        <w:rPr>
          <w:highlight w:val="yellow"/>
        </w:rPr>
        <w:t xml:space="preserve">wieloelementowej, tj., </w:t>
      </w:r>
      <w:r w:rsidRPr="004D07BE">
        <w:rPr>
          <w:highlight w:val="yellow"/>
        </w:rPr>
        <w:t>zawiera</w:t>
      </w:r>
      <w:r w:rsidR="00C90352">
        <w:rPr>
          <w:highlight w:val="yellow"/>
        </w:rPr>
        <w:t>jącej</w:t>
      </w:r>
      <w:r w:rsidRPr="004D07BE">
        <w:rPr>
          <w:highlight w:val="yellow"/>
        </w:rPr>
        <w:t xml:space="preserve"> więcej niż jeden element</w:t>
      </w:r>
      <w:r w:rsidRPr="00FB4346">
        <w:rPr>
          <w:highlight w:val="yellow"/>
        </w:rPr>
        <w:t xml:space="preserve">, </w:t>
      </w:r>
      <w:r w:rsidR="004D07BE" w:rsidRPr="004D07BE">
        <w:rPr>
          <w:highlight w:val="yellow"/>
        </w:rPr>
        <w:t xml:space="preserve">ujmuje się odrębnie dla każdego elementu umowy po spełnieniu warunków ich ujęcia rozważanych dla każdego </w:t>
      </w:r>
      <w:r w:rsidR="004D07BE" w:rsidRPr="004D07BE">
        <w:rPr>
          <w:highlight w:val="yellow"/>
        </w:rPr>
        <w:lastRenderedPageBreak/>
        <w:t>elementu odrębnie zgodnie z postanowieniami KS</w:t>
      </w:r>
      <w:r w:rsidR="005320C7">
        <w:rPr>
          <w:highlight w:val="yellow"/>
        </w:rPr>
        <w:t>R</w:t>
      </w:r>
      <w:r w:rsidR="004D07BE" w:rsidRPr="004D07BE">
        <w:rPr>
          <w:highlight w:val="yellow"/>
        </w:rPr>
        <w:t xml:space="preserve"> 15 „Przychody ze sprzedaży wyrobów, półproduktów, towarów i materiałów”.</w:t>
      </w:r>
    </w:p>
    <w:p w14:paraId="42E4D106" w14:textId="1314A826" w:rsidR="004D07BE" w:rsidRPr="004D07BE" w:rsidRDefault="004D07BE" w:rsidP="00FB4346">
      <w:pPr>
        <w:jc w:val="left"/>
        <w:rPr>
          <w:highlight w:val="yellow"/>
        </w:rPr>
      </w:pPr>
      <w:r w:rsidRPr="00FB4346">
        <w:rPr>
          <w:highlight w:val="yellow"/>
        </w:rPr>
        <w:t xml:space="preserve">Jednostka </w:t>
      </w:r>
      <w:r w:rsidRPr="004D07BE">
        <w:rPr>
          <w:highlight w:val="yellow"/>
        </w:rPr>
        <w:t xml:space="preserve">wyodrębnia w ramach umowy te elementy, które różnią się od siebie przedmiotem (dobro, usługa) lub charakterystyką ekonomiczną (przekazywanie korzyści i ryzyka związanych z dobrem </w:t>
      </w:r>
      <w:r w:rsidR="00C90352">
        <w:rPr>
          <w:highlight w:val="yellow"/>
        </w:rPr>
        <w:br/>
      </w:r>
      <w:r w:rsidRPr="004D07BE">
        <w:rPr>
          <w:highlight w:val="yellow"/>
        </w:rPr>
        <w:t xml:space="preserve">w sposób ciągły, w miarę upływu czasu lub jednorazowo w określonym momencie), stanowią niepodzielną całość i dają się odróżnić od pozostałych elementów. Po ustaleniu poszczególnych elementów umowy sprzedaży zgodnie z </w:t>
      </w:r>
      <w:r w:rsidR="005320C7" w:rsidRPr="004D07BE">
        <w:rPr>
          <w:highlight w:val="yellow"/>
        </w:rPr>
        <w:t>K</w:t>
      </w:r>
      <w:r w:rsidR="005320C7">
        <w:rPr>
          <w:highlight w:val="yellow"/>
        </w:rPr>
        <w:t>S</w:t>
      </w:r>
      <w:r w:rsidR="00C90352">
        <w:rPr>
          <w:highlight w:val="yellow"/>
        </w:rPr>
        <w:t>R</w:t>
      </w:r>
      <w:r w:rsidR="005320C7" w:rsidRPr="004D07BE">
        <w:rPr>
          <w:highlight w:val="yellow"/>
        </w:rPr>
        <w:t xml:space="preserve"> </w:t>
      </w:r>
      <w:r w:rsidRPr="004D07BE">
        <w:rPr>
          <w:highlight w:val="yellow"/>
        </w:rPr>
        <w:t xml:space="preserve">15, do każdego z wyodrębnionych elementów </w:t>
      </w:r>
      <w:r w:rsidRPr="00FB4346">
        <w:rPr>
          <w:highlight w:val="yellow"/>
        </w:rPr>
        <w:t>Jednostka</w:t>
      </w:r>
      <w:r w:rsidRPr="004D07BE">
        <w:rPr>
          <w:highlight w:val="yellow"/>
        </w:rPr>
        <w:t xml:space="preserve"> przypisuje odnoszące się do niego wynagrodzenie.</w:t>
      </w:r>
    </w:p>
    <w:p w14:paraId="5F33A826" w14:textId="77777777" w:rsidR="004D07BE" w:rsidRPr="004D07BE" w:rsidRDefault="004D07BE" w:rsidP="00FB4346">
      <w:pPr>
        <w:jc w:val="left"/>
        <w:rPr>
          <w:highlight w:val="yellow"/>
        </w:rPr>
      </w:pPr>
      <w:r w:rsidRPr="004D07BE">
        <w:rPr>
          <w:highlight w:val="yellow"/>
        </w:rPr>
        <w:t>Ustalenie ceny sprzedaży poszczególnego elementu może nastąpić różnymi metodami.</w:t>
      </w:r>
    </w:p>
    <w:p w14:paraId="5BC692E5" w14:textId="77777777" w:rsidR="004D07BE" w:rsidRPr="004D07BE" w:rsidRDefault="004D07BE" w:rsidP="00FB4346">
      <w:pPr>
        <w:jc w:val="left"/>
        <w:rPr>
          <w:highlight w:val="yellow"/>
        </w:rPr>
      </w:pPr>
      <w:r w:rsidRPr="004D07BE">
        <w:rPr>
          <w:highlight w:val="yellow"/>
        </w:rPr>
        <w:t>Opisane poniżej metody stosuje się zgodnie z kolejnością ich przedstawienia:</w:t>
      </w:r>
    </w:p>
    <w:p w14:paraId="6BFE33E7" w14:textId="77777777" w:rsidR="004D07BE" w:rsidRPr="004D07BE" w:rsidRDefault="004D07BE" w:rsidP="00FB4346">
      <w:pPr>
        <w:jc w:val="left"/>
        <w:rPr>
          <w:highlight w:val="yellow"/>
        </w:rPr>
      </w:pPr>
      <w:r w:rsidRPr="004D07BE">
        <w:rPr>
          <w:highlight w:val="yellow"/>
        </w:rPr>
        <w:t>a) metoda porównywalnych ofert tego samego dostawcy - polega na przyjęciu jako ceny sprzedaży elementu - ceny oferowanej przez tego samego dostawcę stronie niepowiązanej w przypadku sprzedaży pojedynczego elementu umowy;</w:t>
      </w:r>
    </w:p>
    <w:p w14:paraId="121A2785" w14:textId="77777777" w:rsidR="004D07BE" w:rsidRPr="004D07BE" w:rsidRDefault="004D07BE" w:rsidP="00FB4346">
      <w:pPr>
        <w:jc w:val="left"/>
        <w:rPr>
          <w:highlight w:val="yellow"/>
        </w:rPr>
      </w:pPr>
      <w:r w:rsidRPr="004D07BE">
        <w:rPr>
          <w:highlight w:val="yellow"/>
        </w:rPr>
        <w:t>b) metoda rynkowa – polega na przyjęciu jako ceny sprzedaży elementu, przeciętnej ceny ustalonej na podstawie ofert innych dostawców działających na danym rynku, stosowanej do takich samych lub podobnych dóbr, sprzedawanych jako pojedyncze elementy;</w:t>
      </w:r>
    </w:p>
    <w:p w14:paraId="106AE3E0" w14:textId="107F5022" w:rsidR="004D07BE" w:rsidRPr="004D07BE" w:rsidRDefault="004D07BE" w:rsidP="00FB4346">
      <w:pPr>
        <w:jc w:val="left"/>
        <w:rPr>
          <w:highlight w:val="yellow"/>
        </w:rPr>
      </w:pPr>
      <w:r w:rsidRPr="004D07BE">
        <w:rPr>
          <w:highlight w:val="yellow"/>
        </w:rPr>
        <w:t xml:space="preserve">c) metoda koszt plus marża – polega na przyjęciu, jako ceny sprzedaży elementu, sumy kosztów wymagających poniesienia na wykonanie danego elementu umowy i doliczenia do nich marży </w:t>
      </w:r>
      <w:r w:rsidR="00C90352">
        <w:rPr>
          <w:highlight w:val="yellow"/>
        </w:rPr>
        <w:br/>
      </w:r>
      <w:r w:rsidRPr="004D07BE">
        <w:rPr>
          <w:highlight w:val="yellow"/>
        </w:rPr>
        <w:t>z tytułu zysku, ustalonej w racjonalnej wysokości;</w:t>
      </w:r>
    </w:p>
    <w:p w14:paraId="6FB4B195" w14:textId="13DE5A13" w:rsidR="004D07BE" w:rsidRPr="004D07BE" w:rsidRDefault="004D07BE" w:rsidP="00FB4346">
      <w:pPr>
        <w:jc w:val="left"/>
        <w:rPr>
          <w:highlight w:val="yellow"/>
        </w:rPr>
      </w:pPr>
      <w:r w:rsidRPr="004D07BE">
        <w:rPr>
          <w:highlight w:val="yellow"/>
        </w:rPr>
        <w:t xml:space="preserve">d) metoda rezydualna – polega na przyjęciu cen sprzedaży ustalonych jedną z metod opisanych </w:t>
      </w:r>
      <w:r w:rsidR="00C90352">
        <w:rPr>
          <w:highlight w:val="yellow"/>
        </w:rPr>
        <w:br/>
      </w:r>
      <w:r w:rsidRPr="004D07BE">
        <w:rPr>
          <w:highlight w:val="yellow"/>
        </w:rPr>
        <w:t xml:space="preserve">w punktach a) – c) dla elementów umowy, dla których możliwe jest ich ustalenie, i przypisaniu pozostałej części wynagrodzenia do elementu umowy, którego ceny sprzedaży nie da się w taki sposób ustalić, ponieważ </w:t>
      </w:r>
      <w:r w:rsidR="00FB4346" w:rsidRPr="00FB4346">
        <w:rPr>
          <w:highlight w:val="yellow"/>
        </w:rPr>
        <w:t xml:space="preserve">Jednostka: </w:t>
      </w:r>
    </w:p>
    <w:p w14:paraId="020D9D97" w14:textId="6BEE7255" w:rsidR="004D07BE" w:rsidRPr="004D07BE" w:rsidRDefault="004D07BE" w:rsidP="00FB4346">
      <w:pPr>
        <w:jc w:val="left"/>
        <w:rPr>
          <w:highlight w:val="cyan"/>
        </w:rPr>
      </w:pPr>
      <w:r w:rsidRPr="004D07BE">
        <w:rPr>
          <w:highlight w:val="cyan"/>
        </w:rPr>
        <w:t>- sprzedaje dane dobra różnym nabywcom po różnych cenach i duże ich zróżnicowanie uniemożliwia wiarygodne ustalenie przeciętnej ceny,</w:t>
      </w:r>
    </w:p>
    <w:p w14:paraId="5F635217" w14:textId="35A51AF2" w:rsidR="004D07BE" w:rsidRPr="004D07BE" w:rsidRDefault="004D07BE" w:rsidP="00FB4346">
      <w:pPr>
        <w:jc w:val="left"/>
      </w:pPr>
      <w:r w:rsidRPr="004D07BE">
        <w:rPr>
          <w:highlight w:val="cyan"/>
        </w:rPr>
        <w:t>- wprowadziła dane dobro do sprzedaży niedawno i oferowane w danym momencie ceny nie odzwierciedlają cen rynkowych (na przykład, ze względu na wysokie rabaty).</w:t>
      </w:r>
    </w:p>
    <w:p w14:paraId="732BCE05" w14:textId="5EC73BB6" w:rsidR="00901361" w:rsidRPr="00C75EDE" w:rsidRDefault="00901361" w:rsidP="00FB4346">
      <w:pPr>
        <w:jc w:val="left"/>
        <w:rPr>
          <w:i/>
          <w:iCs/>
          <w:color w:val="FF0000"/>
        </w:rPr>
      </w:pPr>
      <w:r w:rsidRPr="00C75EDE">
        <w:rPr>
          <w:b/>
          <w:bCs/>
        </w:rPr>
        <w:t xml:space="preserve">Przychodem ze sprzedaży towarów </w:t>
      </w:r>
      <w:r w:rsidRPr="00C75EDE">
        <w:t xml:space="preserve">jest kwota należna z tego tytułu od odbiorcy, pomniejszona </w:t>
      </w:r>
      <w:r w:rsidR="00C90352">
        <w:br/>
      </w:r>
      <w:r w:rsidRPr="00C75EDE">
        <w:t xml:space="preserve">o należny podatek od towarów i usług. Momentem sprzedaży jest przekazanie towarów odbiorcy. </w:t>
      </w:r>
      <w:r w:rsidR="00FB4346">
        <w:br/>
      </w:r>
      <w:r w:rsidRPr="00C75EDE">
        <w:t xml:space="preserve">W przypadku </w:t>
      </w:r>
      <w:r w:rsidR="00A86953">
        <w:t>Spółki</w:t>
      </w:r>
      <w:r w:rsidR="00A86953" w:rsidRPr="00CC7C83" w:rsidDel="00A86953">
        <w:t xml:space="preserve"> </w:t>
      </w:r>
      <w:r w:rsidRPr="00C75EDE">
        <w:t xml:space="preserve">do przychodów ze sprzedaży towarów zalicza się przede wszystkim: </w:t>
      </w:r>
      <w:r w:rsidRPr="00C75EDE">
        <w:rPr>
          <w:i/>
          <w:iCs/>
          <w:color w:val="FF0000"/>
        </w:rPr>
        <w:t>(wymienić)</w:t>
      </w:r>
    </w:p>
    <w:p w14:paraId="728B8575" w14:textId="3F0B403A" w:rsidR="00901361" w:rsidRPr="00C75EDE" w:rsidRDefault="00901361" w:rsidP="00FB4346">
      <w:pPr>
        <w:jc w:val="left"/>
      </w:pPr>
      <w:r w:rsidRPr="00C75EDE">
        <w:rPr>
          <w:b/>
          <w:bCs/>
        </w:rPr>
        <w:t xml:space="preserve">Wartość sprzedanych towarów </w:t>
      </w:r>
      <w:r w:rsidRPr="00C75EDE">
        <w:t>jest to wartość sprzedanych towarów w</w:t>
      </w:r>
      <w:r w:rsidR="00F36EB7" w:rsidRPr="00C75EDE">
        <w:t> </w:t>
      </w:r>
      <w:r w:rsidRPr="00C75EDE">
        <w:t xml:space="preserve">cenie </w:t>
      </w:r>
      <w:r w:rsidR="00592841" w:rsidRPr="00C75EDE">
        <w:rPr>
          <w:highlight w:val="yellow"/>
        </w:rPr>
        <w:t>nabycia/</w:t>
      </w:r>
      <w:r w:rsidRPr="00C75EDE">
        <w:rPr>
          <w:highlight w:val="yellow"/>
        </w:rPr>
        <w:t>zakupu</w:t>
      </w:r>
      <w:r w:rsidRPr="00C75EDE">
        <w:t xml:space="preserve"> współmierna do przychodów ze sprzedaży z tego tytułu.</w:t>
      </w:r>
    </w:p>
    <w:p w14:paraId="6D8BCC37" w14:textId="24F7EF03" w:rsidR="00901361" w:rsidRPr="00C75EDE" w:rsidRDefault="00901361" w:rsidP="00FB4346">
      <w:pPr>
        <w:jc w:val="left"/>
      </w:pPr>
      <w:bookmarkStart w:id="25" w:name="_Hlk194132788"/>
      <w:r w:rsidRPr="000B33BA">
        <w:rPr>
          <w:b/>
          <w:bCs/>
          <w:highlight w:val="yellow"/>
        </w:rPr>
        <w:t>Pozostałe przychody i koszty operacyjne</w:t>
      </w:r>
      <w:r w:rsidRPr="000B33BA">
        <w:rPr>
          <w:highlight w:val="yellow"/>
        </w:rPr>
        <w:t xml:space="preserve"> są to </w:t>
      </w:r>
      <w:r w:rsidR="001764DD" w:rsidRPr="000B33BA">
        <w:rPr>
          <w:highlight w:val="yellow"/>
        </w:rPr>
        <w:t xml:space="preserve">poniesione </w:t>
      </w:r>
      <w:r w:rsidRPr="000B33BA">
        <w:rPr>
          <w:highlight w:val="yellow"/>
        </w:rPr>
        <w:t xml:space="preserve">koszty </w:t>
      </w:r>
      <w:r w:rsidR="001764DD" w:rsidRPr="000B33BA">
        <w:rPr>
          <w:highlight w:val="yellow"/>
        </w:rPr>
        <w:t>lub osiągnięte, niewątpliwe</w:t>
      </w:r>
      <w:r w:rsidRPr="000B33BA">
        <w:rPr>
          <w:highlight w:val="yellow"/>
        </w:rPr>
        <w:t xml:space="preserve"> przychody </w:t>
      </w:r>
      <w:r w:rsidR="00490536" w:rsidRPr="000B33BA">
        <w:rPr>
          <w:highlight w:val="yellow"/>
        </w:rPr>
        <w:t>niezwiązane</w:t>
      </w:r>
      <w:r w:rsidRPr="000B33BA">
        <w:rPr>
          <w:highlight w:val="yellow"/>
        </w:rPr>
        <w:t xml:space="preserve"> bezpośrednio z</w:t>
      </w:r>
      <w:r w:rsidR="00F36EB7" w:rsidRPr="000B33BA">
        <w:rPr>
          <w:highlight w:val="yellow"/>
        </w:rPr>
        <w:t> </w:t>
      </w:r>
      <w:r w:rsidR="001764DD" w:rsidRPr="000B33BA">
        <w:rPr>
          <w:highlight w:val="yellow"/>
        </w:rPr>
        <w:t xml:space="preserve">podstawową </w:t>
      </w:r>
      <w:r w:rsidRPr="000B33BA">
        <w:rPr>
          <w:highlight w:val="yellow"/>
        </w:rPr>
        <w:t>działalnością</w:t>
      </w:r>
      <w:r w:rsidR="001764DD" w:rsidRPr="000B33BA">
        <w:rPr>
          <w:highlight w:val="yellow"/>
        </w:rPr>
        <w:t xml:space="preserve"> Jednostki</w:t>
      </w:r>
      <w:r w:rsidR="000B22D3">
        <w:rPr>
          <w:highlight w:val="yellow"/>
        </w:rPr>
        <w:t>, w tym związane ze zbyciem materiałów.</w:t>
      </w:r>
      <w:bookmarkEnd w:id="25"/>
      <w:r w:rsidR="000B22D3">
        <w:t xml:space="preserve"> </w:t>
      </w:r>
      <w:r w:rsidR="000B33BA" w:rsidRPr="00C75EDE">
        <w:rPr>
          <w:i/>
          <w:iCs/>
          <w:color w:val="FF0000"/>
        </w:rPr>
        <w:t>(wymienić</w:t>
      </w:r>
      <w:r w:rsidR="000B33BA">
        <w:rPr>
          <w:i/>
          <w:iCs/>
          <w:color w:val="FF0000"/>
        </w:rPr>
        <w:t xml:space="preserve"> / opisać jeżeli są istotne dla zrozumienia SF lub niestandardowe</w:t>
      </w:r>
      <w:r w:rsidR="000B33BA" w:rsidRPr="00C75EDE">
        <w:rPr>
          <w:i/>
          <w:iCs/>
          <w:color w:val="FF0000"/>
        </w:rPr>
        <w:t>)</w:t>
      </w:r>
      <w:r w:rsidR="000B22D3" w:rsidRPr="000B22D3">
        <w:t xml:space="preserve"> </w:t>
      </w:r>
      <w:r w:rsidR="0028613F" w:rsidRPr="0028613F">
        <w:rPr>
          <w:highlight w:val="yellow"/>
        </w:rPr>
        <w:t xml:space="preserve">Jednostka prezentuje wynik na zbyciu materiałów, ujmując odpowiednio: zysk na zbyciu materiałów w pozycji „Inne przychody operacyjne”, a stratę na ich zbyciu w pozycji „Inne koszty operacyjne”. </w:t>
      </w:r>
      <w:r w:rsidR="000B22D3" w:rsidRPr="0028613F">
        <w:rPr>
          <w:highlight w:val="yellow"/>
        </w:rPr>
        <w:t xml:space="preserve">/ </w:t>
      </w:r>
      <w:r w:rsidR="0028613F" w:rsidRPr="0028613F">
        <w:rPr>
          <w:highlight w:val="yellow"/>
        </w:rPr>
        <w:t>Przychody i koszty związane ze sprzedażą materiałów prezentowane są w szyku rozwartym – odpowiednio w pozycjach „Inne przychody operacyjne” oraz „Inne koszty operacyjne”.</w:t>
      </w:r>
      <w:r w:rsidR="0028613F" w:rsidRPr="0028613F">
        <w:rPr>
          <w:i/>
          <w:iCs/>
          <w:color w:val="FF0000"/>
        </w:rPr>
        <w:t xml:space="preserve"> (</w:t>
      </w:r>
      <w:r w:rsidR="0028613F">
        <w:rPr>
          <w:i/>
          <w:iCs/>
          <w:color w:val="FF0000"/>
        </w:rPr>
        <w:t>należy dokonać wyboru sposobu prezentacji)</w:t>
      </w:r>
    </w:p>
    <w:p w14:paraId="5AE3D398" w14:textId="77777777" w:rsidR="00920C6E" w:rsidRDefault="00901361" w:rsidP="00BA53C6">
      <w:pPr>
        <w:jc w:val="left"/>
        <w:rPr>
          <w:i/>
          <w:iCs/>
          <w:color w:val="FF0000"/>
        </w:rPr>
      </w:pPr>
      <w:bookmarkStart w:id="26" w:name="_Hlk194132799"/>
      <w:r w:rsidRPr="000B33BA">
        <w:rPr>
          <w:b/>
          <w:bCs/>
          <w:highlight w:val="yellow"/>
        </w:rPr>
        <w:lastRenderedPageBreak/>
        <w:t>Przychody finansowe</w:t>
      </w:r>
      <w:r w:rsidRPr="000B33BA">
        <w:rPr>
          <w:highlight w:val="yellow"/>
        </w:rPr>
        <w:t xml:space="preserve"> są to należne przychody z operacji finansowych, natomiast </w:t>
      </w:r>
      <w:r w:rsidRPr="000B33BA">
        <w:rPr>
          <w:b/>
          <w:bCs/>
          <w:highlight w:val="yellow"/>
        </w:rPr>
        <w:t>koszty finansowe</w:t>
      </w:r>
      <w:r w:rsidRPr="000B33BA">
        <w:rPr>
          <w:highlight w:val="yellow"/>
        </w:rPr>
        <w:t xml:space="preserve"> są to poniesione koszty operacji finansowych.</w:t>
      </w:r>
      <w:r w:rsidRPr="00C75EDE">
        <w:t xml:space="preserve"> </w:t>
      </w:r>
      <w:bookmarkEnd w:id="26"/>
      <w:r w:rsidR="000B33BA" w:rsidRPr="00C75EDE">
        <w:rPr>
          <w:i/>
          <w:iCs/>
          <w:color w:val="FF0000"/>
        </w:rPr>
        <w:t>(wymienić</w:t>
      </w:r>
      <w:r w:rsidR="000B33BA">
        <w:rPr>
          <w:i/>
          <w:iCs/>
          <w:color w:val="FF0000"/>
        </w:rPr>
        <w:t xml:space="preserve"> / opisać jeżeli są istotne dla zrozumienia SF lub niestandardowe</w:t>
      </w:r>
      <w:r w:rsidR="000B33BA" w:rsidRPr="00C75EDE">
        <w:rPr>
          <w:i/>
          <w:iCs/>
          <w:color w:val="FF0000"/>
        </w:rPr>
        <w:t>)</w:t>
      </w:r>
      <w:r w:rsidR="00BA53C6">
        <w:rPr>
          <w:i/>
          <w:iCs/>
          <w:color w:val="FF0000"/>
        </w:rPr>
        <w:t xml:space="preserve"> </w:t>
      </w:r>
    </w:p>
    <w:p w14:paraId="27265DC8" w14:textId="5E2C69ED" w:rsidR="00901361" w:rsidRPr="00C063E8" w:rsidRDefault="00BA53C6" w:rsidP="00BA53C6">
      <w:pPr>
        <w:jc w:val="left"/>
        <w:rPr>
          <w:highlight w:val="yellow"/>
        </w:rPr>
      </w:pPr>
      <w:bookmarkStart w:id="27" w:name="_Hlk220590687"/>
      <w:r w:rsidRPr="00C063E8">
        <w:rPr>
          <w:highlight w:val="yellow"/>
        </w:rPr>
        <w:t xml:space="preserve">Należne dywidendy zalicza się do przychodów finansowych na dzień powzięcia przez </w:t>
      </w:r>
      <w:r>
        <w:rPr>
          <w:highlight w:val="yellow"/>
        </w:rPr>
        <w:t>z</w:t>
      </w:r>
      <w:r w:rsidRPr="00C063E8">
        <w:rPr>
          <w:highlight w:val="yellow"/>
        </w:rPr>
        <w:t xml:space="preserve">gromadzenie </w:t>
      </w:r>
      <w:r>
        <w:rPr>
          <w:highlight w:val="yellow"/>
        </w:rPr>
        <w:t>w</w:t>
      </w:r>
      <w:r w:rsidRPr="00C063E8">
        <w:rPr>
          <w:highlight w:val="yellow"/>
        </w:rPr>
        <w:t xml:space="preserve">spólników </w:t>
      </w:r>
      <w:r w:rsidR="00920C6E">
        <w:rPr>
          <w:highlight w:val="yellow"/>
        </w:rPr>
        <w:t xml:space="preserve">/ walne zgromadzenie / wspólników </w:t>
      </w:r>
      <w:r w:rsidRPr="00C063E8">
        <w:rPr>
          <w:highlight w:val="yellow"/>
        </w:rPr>
        <w:t xml:space="preserve">spółki, w którą </w:t>
      </w:r>
      <w:r w:rsidR="0099456E">
        <w:rPr>
          <w:highlight w:val="yellow"/>
        </w:rPr>
        <w:t>J</w:t>
      </w:r>
      <w:r w:rsidRPr="00C063E8">
        <w:rPr>
          <w:highlight w:val="yellow"/>
        </w:rPr>
        <w:t xml:space="preserve">ednostka zainwestowała, uchwały </w:t>
      </w:r>
      <w:r w:rsidR="005607AE">
        <w:rPr>
          <w:highlight w:val="yellow"/>
        </w:rPr>
        <w:br/>
      </w:r>
      <w:r w:rsidRPr="00C063E8">
        <w:rPr>
          <w:highlight w:val="yellow"/>
        </w:rPr>
        <w:t>o podziale zysku, chyba że w uchwale określono inny dzień prawa do dywidendy</w:t>
      </w:r>
      <w:r w:rsidR="005171DE">
        <w:rPr>
          <w:highlight w:val="yellow"/>
        </w:rPr>
        <w:t xml:space="preserve">, wówczas dniem osiągnięcia przychodu z tego tytułu jest </w:t>
      </w:r>
      <w:r w:rsidR="00D32AE7" w:rsidRPr="00D32AE7">
        <w:rPr>
          <w:highlight w:val="yellow"/>
        </w:rPr>
        <w:t>d</w:t>
      </w:r>
      <w:r w:rsidR="005171DE">
        <w:rPr>
          <w:highlight w:val="yellow"/>
        </w:rPr>
        <w:t>zień</w:t>
      </w:r>
      <w:r w:rsidR="00D32AE7">
        <w:rPr>
          <w:highlight w:val="yellow"/>
        </w:rPr>
        <w:t xml:space="preserve"> </w:t>
      </w:r>
      <w:r w:rsidR="00D32AE7" w:rsidRPr="00D32AE7">
        <w:rPr>
          <w:highlight w:val="yellow"/>
        </w:rPr>
        <w:t>prawa do dywidendy</w:t>
      </w:r>
      <w:r w:rsidR="005171DE">
        <w:rPr>
          <w:highlight w:val="yellow"/>
        </w:rPr>
        <w:t>.</w:t>
      </w:r>
    </w:p>
    <w:bookmarkEnd w:id="27"/>
    <w:p w14:paraId="789B248F" w14:textId="297888D9" w:rsidR="00A86953" w:rsidRDefault="00A86953" w:rsidP="00FB4346">
      <w:pPr>
        <w:pStyle w:val="Nagwek1"/>
        <w:numPr>
          <w:ilvl w:val="1"/>
          <w:numId w:val="5"/>
        </w:numPr>
        <w:ind w:left="993" w:hanging="709"/>
        <w:jc w:val="left"/>
      </w:pPr>
      <w:r>
        <w:t>Inne</w:t>
      </w:r>
    </w:p>
    <w:p w14:paraId="425CBA9B" w14:textId="6966C602" w:rsidR="00A86953" w:rsidRPr="00602B0C" w:rsidRDefault="00A86953" w:rsidP="00FB4346">
      <w:pPr>
        <w:jc w:val="left"/>
        <w:rPr>
          <w:rFonts w:cs="Calibri"/>
          <w:iCs/>
          <w:szCs w:val="22"/>
        </w:rPr>
      </w:pPr>
      <w:r>
        <w:rPr>
          <w:rFonts w:cs="Calibri"/>
          <w:iCs/>
          <w:szCs w:val="22"/>
        </w:rPr>
        <w:t>Spółka jest jednostką dominującą. J</w:t>
      </w:r>
      <w:r w:rsidRPr="00EC2024">
        <w:rPr>
          <w:rFonts w:cs="Calibri"/>
          <w:iCs/>
          <w:szCs w:val="22"/>
        </w:rPr>
        <w:t xml:space="preserve">ednostka </w:t>
      </w:r>
      <w:r>
        <w:rPr>
          <w:rFonts w:cs="Calibri"/>
          <w:iCs/>
          <w:szCs w:val="22"/>
        </w:rPr>
        <w:t xml:space="preserve">odstąpiła od sporządzenia </w:t>
      </w:r>
      <w:r w:rsidRPr="00EC2024">
        <w:rPr>
          <w:rFonts w:cs="Calibri"/>
          <w:iCs/>
          <w:szCs w:val="22"/>
        </w:rPr>
        <w:t xml:space="preserve">skonsolidowanego </w:t>
      </w:r>
      <w:r w:rsidRPr="00602B0C">
        <w:rPr>
          <w:rFonts w:cs="Calibri"/>
          <w:iCs/>
          <w:szCs w:val="22"/>
        </w:rPr>
        <w:t>sprawozdania finansowego w związku z faktem, ż</w:t>
      </w:r>
      <w:r w:rsidR="00757595">
        <w:rPr>
          <w:rFonts w:cs="Calibri"/>
          <w:iCs/>
          <w:szCs w:val="22"/>
        </w:rPr>
        <w:t>e</w:t>
      </w:r>
      <w:r w:rsidRPr="00602B0C">
        <w:rPr>
          <w:rFonts w:cs="Calibri"/>
          <w:iCs/>
          <w:szCs w:val="22"/>
        </w:rPr>
        <w:t>:</w:t>
      </w:r>
    </w:p>
    <w:p w14:paraId="7A6F9715" w14:textId="77777777" w:rsidR="00A86953" w:rsidRPr="00602B0C" w:rsidRDefault="00A86953" w:rsidP="00FB4346">
      <w:pPr>
        <w:numPr>
          <w:ilvl w:val="0"/>
          <w:numId w:val="7"/>
        </w:numPr>
        <w:jc w:val="left"/>
        <w:rPr>
          <w:rFonts w:cs="Calibri"/>
          <w:iCs/>
          <w:szCs w:val="22"/>
        </w:rPr>
      </w:pPr>
      <w:r w:rsidRPr="00602B0C">
        <w:rPr>
          <w:rFonts w:cs="Calibri"/>
          <w:iCs/>
          <w:szCs w:val="22"/>
        </w:rPr>
        <w:t>na dzień bilansowy roku obrotowego oraz na dzień bilansowy roku poprzedzającego rok obrotowy łączne dane Spółki oraz wszystkich jednostek zależnych każdego szczebla nie przekroczyły limitów określonych w art. 56 ustawy o rachunkowości;</w:t>
      </w:r>
    </w:p>
    <w:p w14:paraId="26040B79" w14:textId="77777777" w:rsidR="00A86953" w:rsidRPr="00602B0C" w:rsidRDefault="00A86953" w:rsidP="00FB4346">
      <w:pPr>
        <w:numPr>
          <w:ilvl w:val="0"/>
          <w:numId w:val="7"/>
        </w:numPr>
        <w:jc w:val="left"/>
        <w:rPr>
          <w:rFonts w:cs="Calibri"/>
          <w:iCs/>
          <w:szCs w:val="22"/>
        </w:rPr>
      </w:pPr>
      <w:r w:rsidRPr="00602B0C">
        <w:rPr>
          <w:rFonts w:cs="Calibri"/>
          <w:iCs/>
          <w:szCs w:val="22"/>
        </w:rPr>
        <w:t xml:space="preserve">skonsolidowane sprawozdanie finansowe na wyższym szczeblu </w:t>
      </w:r>
      <w:r w:rsidRPr="009E0880">
        <w:rPr>
          <w:rFonts w:cs="Calibri"/>
          <w:iCs/>
          <w:szCs w:val="22"/>
        </w:rPr>
        <w:t xml:space="preserve">sporządziła </w:t>
      </w:r>
      <w:r w:rsidRPr="00602B0C">
        <w:rPr>
          <w:rFonts w:cs="Calibri"/>
          <w:iCs/>
          <w:szCs w:val="22"/>
        </w:rPr>
        <w:t xml:space="preserve">jednostka dominująca dla Spółki, mająca siedzibę lub miejsce sprawowania zarządu na terytorium Europejskiego Obszaru Gospodarczego </w:t>
      </w:r>
      <w:r w:rsidRPr="00602B0C">
        <w:rPr>
          <w:rFonts w:cs="Calibri"/>
          <w:iCs/>
          <w:szCs w:val="22"/>
          <w:highlight w:val="yellow"/>
        </w:rPr>
        <w:t>[opisać</w:t>
      </w:r>
      <w:r>
        <w:rPr>
          <w:rFonts w:cs="Calibri"/>
          <w:iCs/>
          <w:szCs w:val="22"/>
          <w:highlight w:val="yellow"/>
        </w:rPr>
        <w:t xml:space="preserve"> jeżeli dotyczy</w:t>
      </w:r>
      <w:r w:rsidRPr="00602B0C">
        <w:rPr>
          <w:rFonts w:cs="Calibri"/>
          <w:iCs/>
          <w:szCs w:val="22"/>
          <w:highlight w:val="yellow"/>
        </w:rPr>
        <w:t>]</w:t>
      </w:r>
      <w:r w:rsidRPr="00602B0C">
        <w:rPr>
          <w:rFonts w:cs="Calibri"/>
          <w:iCs/>
          <w:szCs w:val="22"/>
        </w:rPr>
        <w:t>;</w:t>
      </w:r>
    </w:p>
    <w:p w14:paraId="0438EAC4" w14:textId="77777777" w:rsidR="00A86953" w:rsidRPr="00602B0C" w:rsidRDefault="00A86953" w:rsidP="00FB4346">
      <w:pPr>
        <w:numPr>
          <w:ilvl w:val="0"/>
          <w:numId w:val="7"/>
        </w:numPr>
        <w:jc w:val="left"/>
        <w:rPr>
          <w:rFonts w:cs="Calibri"/>
          <w:iCs/>
          <w:szCs w:val="22"/>
        </w:rPr>
      </w:pPr>
      <w:r w:rsidRPr="00602B0C">
        <w:rPr>
          <w:rFonts w:cs="Calibri"/>
          <w:iCs/>
          <w:szCs w:val="22"/>
        </w:rPr>
        <w:t>wszystkie jednostki od niej zależne wyłącz</w:t>
      </w:r>
      <w:r w:rsidRPr="009E0880">
        <w:rPr>
          <w:rFonts w:cs="Calibri"/>
          <w:iCs/>
          <w:szCs w:val="22"/>
        </w:rPr>
        <w:t>one są</w:t>
      </w:r>
      <w:r w:rsidRPr="00602B0C">
        <w:rPr>
          <w:rFonts w:cs="Calibri"/>
          <w:iCs/>
          <w:szCs w:val="22"/>
        </w:rPr>
        <w:t xml:space="preserve"> z obowiązku objęcia ich konsolidacją na podstawie art. 57 lub art. 58 ustawy o rachunkowości </w:t>
      </w:r>
      <w:r w:rsidRPr="00602B0C">
        <w:rPr>
          <w:rFonts w:cs="Calibri"/>
          <w:iCs/>
          <w:szCs w:val="22"/>
          <w:highlight w:val="yellow"/>
        </w:rPr>
        <w:t xml:space="preserve">[opisać </w:t>
      </w:r>
      <w:r>
        <w:rPr>
          <w:rFonts w:cs="Calibri"/>
          <w:iCs/>
          <w:szCs w:val="22"/>
          <w:highlight w:val="yellow"/>
        </w:rPr>
        <w:t>jeżeli dotyczy</w:t>
      </w:r>
      <w:r w:rsidRPr="00602B0C">
        <w:rPr>
          <w:rFonts w:cs="Calibri"/>
          <w:iCs/>
          <w:szCs w:val="22"/>
          <w:highlight w:val="yellow"/>
        </w:rPr>
        <w:t>]</w:t>
      </w:r>
      <w:r w:rsidRPr="00602B0C">
        <w:rPr>
          <w:rFonts w:cs="Calibri"/>
          <w:iCs/>
          <w:szCs w:val="22"/>
        </w:rPr>
        <w:t>;</w:t>
      </w:r>
    </w:p>
    <w:p w14:paraId="16931176" w14:textId="77777777" w:rsidR="00A86953" w:rsidRPr="00602B0C" w:rsidRDefault="00A86953" w:rsidP="00FB4346">
      <w:pPr>
        <w:numPr>
          <w:ilvl w:val="0"/>
          <w:numId w:val="7"/>
        </w:numPr>
        <w:jc w:val="left"/>
        <w:rPr>
          <w:rFonts w:cs="Calibri"/>
          <w:iCs/>
          <w:szCs w:val="22"/>
        </w:rPr>
      </w:pPr>
      <w:r w:rsidRPr="00602B0C">
        <w:rPr>
          <w:rFonts w:cs="Calibri"/>
          <w:iCs/>
          <w:szCs w:val="22"/>
          <w:highlight w:val="yellow"/>
        </w:rPr>
        <w:t>udziały / akcje</w:t>
      </w:r>
      <w:r w:rsidRPr="00602B0C">
        <w:rPr>
          <w:rFonts w:cs="Calibri"/>
          <w:iCs/>
          <w:szCs w:val="22"/>
        </w:rPr>
        <w:t xml:space="preserve"> [</w:t>
      </w:r>
      <w:r w:rsidRPr="00602B0C">
        <w:rPr>
          <w:rFonts w:cs="Calibri"/>
          <w:b/>
          <w:iCs/>
          <w:szCs w:val="22"/>
        </w:rPr>
        <w:t>nazwa jednostki zależnej</w:t>
      </w:r>
      <w:r w:rsidRPr="00602B0C">
        <w:rPr>
          <w:rFonts w:cs="Calibri"/>
          <w:iCs/>
          <w:szCs w:val="22"/>
        </w:rPr>
        <w:t>] zostały nabyte, zakupione lub pozyskane w innej formie, z wyłącznym ich przeznaczeniem do późniejszej odprzedaży, w terminie jednego roku od dnia ich nabycia, zakupu lub pozyskania w innej formie;</w:t>
      </w:r>
    </w:p>
    <w:p w14:paraId="23118E72" w14:textId="77777777" w:rsidR="00A86953" w:rsidRPr="00EC2024" w:rsidRDefault="00A86953" w:rsidP="00FB4346">
      <w:pPr>
        <w:numPr>
          <w:ilvl w:val="0"/>
          <w:numId w:val="7"/>
        </w:numPr>
        <w:jc w:val="left"/>
        <w:rPr>
          <w:rFonts w:cs="Calibri"/>
          <w:iCs/>
          <w:szCs w:val="22"/>
        </w:rPr>
      </w:pPr>
      <w:r w:rsidRPr="00602B0C">
        <w:rPr>
          <w:rFonts w:cs="Calibri"/>
          <w:iCs/>
          <w:szCs w:val="22"/>
        </w:rPr>
        <w:t>występują poważne długoterminowe ograniczenia w sprawowaniu kontroli nad [</w:t>
      </w:r>
      <w:r w:rsidRPr="00602B0C">
        <w:rPr>
          <w:rFonts w:cs="Calibri"/>
          <w:b/>
          <w:iCs/>
          <w:szCs w:val="22"/>
        </w:rPr>
        <w:t>nazwa</w:t>
      </w:r>
      <w:r w:rsidRPr="00EC2024">
        <w:rPr>
          <w:rFonts w:cs="Calibri"/>
          <w:b/>
          <w:iCs/>
          <w:szCs w:val="22"/>
        </w:rPr>
        <w:t xml:space="preserve"> jednostki zależnej</w:t>
      </w:r>
      <w:r>
        <w:rPr>
          <w:rFonts w:cs="Calibri"/>
          <w:iCs/>
          <w:szCs w:val="22"/>
        </w:rPr>
        <w:t>]</w:t>
      </w:r>
      <w:r w:rsidRPr="00EC2024">
        <w:rPr>
          <w:rFonts w:cs="Calibri"/>
          <w:iCs/>
          <w:szCs w:val="22"/>
        </w:rPr>
        <w:t>, które wyłączają swobodne dysponowanie jej aktywami netto, w tym wypracowanym przez tę jednostkę zyskiem netto, lub które wyłączają sprawowanie kontroli nad or</w:t>
      </w:r>
      <w:r>
        <w:rPr>
          <w:rFonts w:cs="Calibri"/>
          <w:iCs/>
          <w:szCs w:val="22"/>
        </w:rPr>
        <w:t xml:space="preserve">ganami kierującymi tą jednostką – </w:t>
      </w:r>
      <w:r w:rsidRPr="00EC2024">
        <w:rPr>
          <w:rFonts w:cs="Calibri"/>
          <w:iCs/>
          <w:szCs w:val="22"/>
          <w:highlight w:val="yellow"/>
        </w:rPr>
        <w:t>opisać</w:t>
      </w:r>
      <w:r w:rsidRPr="00602B0C">
        <w:rPr>
          <w:rFonts w:cs="Calibri"/>
          <w:iCs/>
          <w:szCs w:val="22"/>
          <w:highlight w:val="yellow"/>
        </w:rPr>
        <w:t xml:space="preserve"> </w:t>
      </w:r>
      <w:r>
        <w:rPr>
          <w:rFonts w:cs="Calibri"/>
          <w:iCs/>
          <w:szCs w:val="22"/>
          <w:highlight w:val="yellow"/>
        </w:rPr>
        <w:t>jeżeli dotyczy</w:t>
      </w:r>
      <w:r>
        <w:rPr>
          <w:rFonts w:cs="Calibri"/>
          <w:iCs/>
          <w:szCs w:val="22"/>
        </w:rPr>
        <w:t xml:space="preserve">; </w:t>
      </w:r>
    </w:p>
    <w:p w14:paraId="73927631" w14:textId="72ABA283" w:rsidR="00A86953" w:rsidRPr="00EC2024" w:rsidRDefault="00A86953" w:rsidP="00FB4346">
      <w:pPr>
        <w:numPr>
          <w:ilvl w:val="0"/>
          <w:numId w:val="7"/>
        </w:numPr>
        <w:jc w:val="left"/>
        <w:rPr>
          <w:rFonts w:cs="Calibri"/>
          <w:iCs/>
          <w:szCs w:val="22"/>
        </w:rPr>
      </w:pPr>
      <w:r>
        <w:rPr>
          <w:rFonts w:cs="Calibri"/>
          <w:iCs/>
          <w:szCs w:val="22"/>
        </w:rPr>
        <w:t xml:space="preserve">pozyskanie </w:t>
      </w:r>
      <w:r w:rsidRPr="00EC2024">
        <w:rPr>
          <w:rFonts w:cs="Calibri"/>
          <w:iCs/>
          <w:szCs w:val="22"/>
        </w:rPr>
        <w:t xml:space="preserve">informacji niezbędnych do sporządzenia skonsolidowanego sprawozdania finansowego </w:t>
      </w:r>
      <w:r>
        <w:rPr>
          <w:rFonts w:cs="Calibri"/>
          <w:iCs/>
          <w:szCs w:val="22"/>
        </w:rPr>
        <w:t>dot. [</w:t>
      </w:r>
      <w:r w:rsidRPr="00EC2024">
        <w:rPr>
          <w:rFonts w:cs="Calibri"/>
          <w:b/>
          <w:iCs/>
          <w:szCs w:val="22"/>
        </w:rPr>
        <w:t>nazwa jednostki zależnej</w:t>
      </w:r>
      <w:r w:rsidRPr="00EC2024">
        <w:rPr>
          <w:rFonts w:cs="Calibri"/>
          <w:iCs/>
          <w:szCs w:val="22"/>
        </w:rPr>
        <w:t>]</w:t>
      </w:r>
      <w:r>
        <w:rPr>
          <w:rFonts w:cs="Calibri"/>
          <w:iCs/>
          <w:szCs w:val="22"/>
        </w:rPr>
        <w:t xml:space="preserve"> wiązałoby się z </w:t>
      </w:r>
      <w:r w:rsidRPr="00EC2024">
        <w:rPr>
          <w:rFonts w:cs="Calibri"/>
          <w:iCs/>
          <w:szCs w:val="22"/>
        </w:rPr>
        <w:t>pon</w:t>
      </w:r>
      <w:r>
        <w:rPr>
          <w:rFonts w:cs="Calibri"/>
          <w:iCs/>
          <w:szCs w:val="22"/>
        </w:rPr>
        <w:t xml:space="preserve">iesieniem </w:t>
      </w:r>
      <w:r w:rsidRPr="00EC2024">
        <w:rPr>
          <w:rFonts w:cs="Calibri"/>
          <w:iCs/>
          <w:szCs w:val="22"/>
        </w:rPr>
        <w:t xml:space="preserve">niewspółmiernie </w:t>
      </w:r>
      <w:r w:rsidRPr="00EC2024">
        <w:rPr>
          <w:rFonts w:cs="Calibri"/>
          <w:iCs/>
          <w:szCs w:val="22"/>
          <w:highlight w:val="yellow"/>
        </w:rPr>
        <w:t xml:space="preserve">wysokich kosztów lub </w:t>
      </w:r>
      <w:r>
        <w:rPr>
          <w:rFonts w:cs="Calibri"/>
          <w:iCs/>
          <w:szCs w:val="22"/>
          <w:highlight w:val="yellow"/>
        </w:rPr>
        <w:t>wymagałoby niezwykle długiego czasu</w:t>
      </w:r>
      <w:r w:rsidRPr="00EC2024">
        <w:rPr>
          <w:rFonts w:cs="Calibri"/>
          <w:iCs/>
          <w:szCs w:val="22"/>
        </w:rPr>
        <w:t xml:space="preserve"> </w:t>
      </w:r>
      <w:r>
        <w:rPr>
          <w:rFonts w:cs="Calibri"/>
          <w:iCs/>
          <w:szCs w:val="22"/>
        </w:rPr>
        <w:t>[</w:t>
      </w:r>
      <w:r w:rsidRPr="00EC2024">
        <w:rPr>
          <w:rFonts w:cs="Calibri"/>
          <w:i/>
          <w:iCs/>
          <w:szCs w:val="22"/>
          <w:highlight w:val="yellow"/>
        </w:rPr>
        <w:t xml:space="preserve">UWAGA: może mieć to zastosowanie w wyjątkowych przypadkach, które zostaną odpowiednio udokumentowane </w:t>
      </w:r>
      <w:r w:rsidR="00F46C65">
        <w:rPr>
          <w:rFonts w:cs="Calibri"/>
          <w:i/>
          <w:iCs/>
          <w:szCs w:val="22"/>
          <w:highlight w:val="yellow"/>
        </w:rPr>
        <w:br/>
      </w:r>
      <w:r w:rsidRPr="00EC2024">
        <w:rPr>
          <w:rFonts w:cs="Calibri"/>
          <w:i/>
          <w:iCs/>
          <w:szCs w:val="22"/>
          <w:highlight w:val="yellow"/>
        </w:rPr>
        <w:t>– opis i udokumentowanie</w:t>
      </w:r>
      <w:r>
        <w:rPr>
          <w:rFonts w:cs="Calibri"/>
          <w:iCs/>
          <w:szCs w:val="22"/>
        </w:rPr>
        <w:t xml:space="preserve">]; </w:t>
      </w:r>
    </w:p>
    <w:p w14:paraId="54CD1A47" w14:textId="3D866A7C" w:rsidR="00A86953" w:rsidRPr="00EC2024" w:rsidRDefault="00A86953" w:rsidP="00FB4346">
      <w:pPr>
        <w:numPr>
          <w:ilvl w:val="0"/>
          <w:numId w:val="7"/>
        </w:numPr>
        <w:jc w:val="left"/>
        <w:rPr>
          <w:rFonts w:cs="Calibri"/>
          <w:iCs/>
          <w:szCs w:val="22"/>
        </w:rPr>
      </w:pPr>
      <w:r w:rsidRPr="00EC2024">
        <w:rPr>
          <w:rFonts w:cs="Calibri"/>
          <w:iCs/>
          <w:szCs w:val="22"/>
        </w:rPr>
        <w:t xml:space="preserve">dane </w:t>
      </w:r>
      <w:r w:rsidRPr="00EC2024">
        <w:rPr>
          <w:rFonts w:cs="Calibri"/>
          <w:iCs/>
          <w:szCs w:val="22"/>
          <w:highlight w:val="yellow"/>
        </w:rPr>
        <w:t>finansowe</w:t>
      </w:r>
      <w:r w:rsidRPr="00EC2024">
        <w:rPr>
          <w:rFonts w:cs="Calibri"/>
          <w:iCs/>
          <w:szCs w:val="22"/>
        </w:rPr>
        <w:t xml:space="preserve"> </w:t>
      </w:r>
      <w:r>
        <w:rPr>
          <w:rFonts w:cs="Calibri"/>
          <w:iCs/>
          <w:szCs w:val="22"/>
        </w:rPr>
        <w:t>[</w:t>
      </w:r>
      <w:r w:rsidRPr="00EC2024">
        <w:rPr>
          <w:rFonts w:cs="Calibri"/>
          <w:b/>
          <w:iCs/>
          <w:szCs w:val="22"/>
        </w:rPr>
        <w:t>nazwa jednostki zależnej</w:t>
      </w:r>
      <w:r w:rsidR="00F46C65">
        <w:rPr>
          <w:rFonts w:cs="Calibri"/>
          <w:bCs/>
          <w:iCs/>
          <w:szCs w:val="22"/>
        </w:rPr>
        <w:t>]</w:t>
      </w:r>
      <w:r w:rsidRPr="00EC2024">
        <w:rPr>
          <w:rFonts w:cs="Calibri"/>
          <w:iCs/>
          <w:szCs w:val="22"/>
        </w:rPr>
        <w:t xml:space="preserve"> są nieistotne dla realizacji obowią</w:t>
      </w:r>
      <w:r>
        <w:rPr>
          <w:rFonts w:cs="Calibri"/>
          <w:iCs/>
          <w:szCs w:val="22"/>
        </w:rPr>
        <w:t xml:space="preserve">zku określonego w art. 4 ust. 1 ustawy o rachunkowości </w:t>
      </w:r>
    </w:p>
    <w:p w14:paraId="5B7605F6" w14:textId="2A6D3983" w:rsidR="00A86953" w:rsidRPr="00EC2024" w:rsidRDefault="00A86953" w:rsidP="00FB4346">
      <w:pPr>
        <w:jc w:val="left"/>
        <w:rPr>
          <w:rFonts w:cs="Calibri"/>
          <w:i/>
          <w:iCs/>
          <w:szCs w:val="22"/>
        </w:rPr>
      </w:pPr>
      <w:r>
        <w:rPr>
          <w:rFonts w:cs="Calibri"/>
          <w:i/>
          <w:iCs/>
          <w:szCs w:val="22"/>
          <w:highlight w:val="yellow"/>
        </w:rPr>
        <w:t>[</w:t>
      </w:r>
      <w:r w:rsidRPr="00EC2024">
        <w:rPr>
          <w:rFonts w:cs="Calibri"/>
          <w:i/>
          <w:iCs/>
          <w:szCs w:val="22"/>
          <w:highlight w:val="yellow"/>
        </w:rPr>
        <w:t>Jeżeli jednostka dominująca nie sporządza skonsolidowanego sprawozdania finansowego w przypadkach, o których mowa w art. 56-58 ustawy</w:t>
      </w:r>
      <w:r w:rsidR="00B5322B">
        <w:rPr>
          <w:rFonts w:cs="Calibri"/>
          <w:i/>
          <w:iCs/>
          <w:szCs w:val="22"/>
          <w:highlight w:val="yellow"/>
        </w:rPr>
        <w:t xml:space="preserve"> o rachunkowości</w:t>
      </w:r>
      <w:r w:rsidRPr="00EC2024">
        <w:rPr>
          <w:rFonts w:cs="Calibri"/>
          <w:i/>
          <w:iCs/>
          <w:szCs w:val="22"/>
          <w:highlight w:val="yellow"/>
        </w:rPr>
        <w:t>, to fakt ten ujawnia się we wprowadzeniu do sprawozdania finansowego jednostki dominującej.</w:t>
      </w:r>
      <w:r>
        <w:rPr>
          <w:rFonts w:cs="Calibri"/>
          <w:i/>
          <w:iCs/>
          <w:szCs w:val="22"/>
        </w:rPr>
        <w:t>]</w:t>
      </w:r>
    </w:p>
    <w:p w14:paraId="1026C540" w14:textId="77777777" w:rsidR="00A86953" w:rsidRPr="00C75EDE" w:rsidRDefault="00A86953" w:rsidP="00FB4346">
      <w:pPr>
        <w:jc w:val="left"/>
      </w:pPr>
    </w:p>
    <w:sectPr w:rsidR="00A86953" w:rsidRPr="00C75EDE" w:rsidSect="00826D71">
      <w:headerReference w:type="default" r:id="rId12"/>
      <w:footerReference w:type="default" r:id="rId13"/>
      <w:pgSz w:w="11906" w:h="16838" w:code="9"/>
      <w:pgMar w:top="1418" w:right="1418" w:bottom="1418" w:left="1418" w:header="68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Lukasz Motala" w:date="2025-01-23T14:27:00Z" w:initials="LM">
    <w:p w14:paraId="24D31D71" w14:textId="1CE56A20" w:rsidR="00977DA5" w:rsidRDefault="00977DA5">
      <w:pPr>
        <w:pStyle w:val="Tekstkomentarza"/>
      </w:pPr>
      <w:r>
        <w:rPr>
          <w:rStyle w:val="Odwoaniedokomentarza"/>
        </w:rPr>
        <w:annotationRef/>
      </w:r>
      <w:bookmarkStart w:id="3" w:name="_Hlk188535061"/>
      <w:r>
        <w:t xml:space="preserve">Należy poniżej uzupełnić w jakich przedziałach są stosowane stawki dla poszczególnych grup </w:t>
      </w:r>
      <w:proofErr w:type="spellStart"/>
      <w:r>
        <w:t>WNiP</w:t>
      </w:r>
      <w:proofErr w:type="spellEnd"/>
      <w:r>
        <w:t xml:space="preserve"> i środków trwałych </w:t>
      </w:r>
      <w:bookmarkEnd w:id="3"/>
    </w:p>
  </w:comment>
  <w:comment w:id="8" w:author="Marta Baranowska" w:date="2026-01-29T12:42:00Z" w:initials="MB">
    <w:p w14:paraId="03D137C9" w14:textId="02657934" w:rsidR="009D10B3" w:rsidRDefault="009D10B3">
      <w:pPr>
        <w:pStyle w:val="Tekstkomentarza"/>
      </w:pPr>
      <w:r>
        <w:rPr>
          <w:rStyle w:val="Odwoaniedokomentarza"/>
        </w:rPr>
        <w:annotationRef/>
      </w:r>
      <w:r>
        <w:t>Możliwe (zalecane) podanie bardziej szczegółowych informacji dotyczących szacunków przyjmowanych do dokonywania odpisów aktualizujących.</w:t>
      </w:r>
    </w:p>
  </w:comment>
  <w:comment w:id="13" w:author="m.baranowska" w:date="2023-01-10T14:43:00Z" w:initials="m">
    <w:p w14:paraId="6D496547" w14:textId="08EA1229" w:rsidR="00161F86" w:rsidRDefault="00161F86">
      <w:pPr>
        <w:pStyle w:val="Tekstkomentarza"/>
      </w:pPr>
      <w:r>
        <w:rPr>
          <w:rStyle w:val="Odwoaniedokomentarza"/>
        </w:rPr>
        <w:annotationRef/>
      </w:r>
      <w:r>
        <w:t xml:space="preserve">Możliwe (zalecane) podanie bardziej szczegółowych informacji dotyczących szacunków przyjmowanych do dokonywania odpisów aktualizujących. </w:t>
      </w:r>
    </w:p>
  </w:comment>
  <w:comment w:id="18" w:author="Lukasz Motala" w:date="2022-12-31T10:36:00Z" w:initials="LM">
    <w:p w14:paraId="1CBAE3C8" w14:textId="2F2D8453" w:rsidR="0042777C" w:rsidRDefault="0042777C">
      <w:pPr>
        <w:pStyle w:val="Tekstkomentarza"/>
      </w:pPr>
      <w:r>
        <w:rPr>
          <w:rStyle w:val="Odwoaniedokomentarza"/>
        </w:rPr>
        <w:annotationRef/>
      </w:r>
      <w:r>
        <w:t xml:space="preserve">Jeżeli podlega kompensacie </w:t>
      </w:r>
    </w:p>
  </w:comment>
  <w:comment w:id="23" w:author="Lukasz Motala" w:date="2025-01-23T14:29:00Z" w:initials="LM">
    <w:p w14:paraId="1F21EFDA" w14:textId="59CBDED8" w:rsidR="00977DA5" w:rsidRDefault="00977DA5">
      <w:pPr>
        <w:pStyle w:val="Tekstkomentarza"/>
      </w:pPr>
      <w:r>
        <w:rPr>
          <w:rStyle w:val="Odwoaniedokomentarza"/>
        </w:rPr>
        <w:annotationRef/>
      </w:r>
      <w:bookmarkStart w:id="24" w:name="_Hlk188535040"/>
      <w:r>
        <w:t xml:space="preserve">Pamiętać w przypadku przychodów ze sprzedaży o weryfikacji warunków </w:t>
      </w:r>
      <w:proofErr w:type="spellStart"/>
      <w:r>
        <w:t>incoterms</w:t>
      </w:r>
      <w:proofErr w:type="spellEnd"/>
      <w:r>
        <w:t xml:space="preserve"> przy ustaleniu czy przychód został osiągnięty </w:t>
      </w:r>
      <w:bookmarkEnd w:id="2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D31D71" w15:done="0"/>
  <w15:commentEx w15:paraId="03D137C9" w15:done="0"/>
  <w15:commentEx w15:paraId="6D496547" w15:done="0"/>
  <w15:commentEx w15:paraId="1CBAE3C8" w15:done="0"/>
  <w15:commentEx w15:paraId="1F21E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BFDCCC" w16cex:dateUtc="2025-01-23T13:27:00Z"/>
  <w16cex:commentExtensible w16cex:durableId="14F989BE" w16cex:dateUtc="2026-01-29T11:42:00Z"/>
  <w16cex:commentExtensible w16cex:durableId="2767F81C" w16cex:dateUtc="2023-01-10T13:43:00Z"/>
  <w16cex:commentExtensible w16cex:durableId="275A8F31" w16cex:dateUtc="2022-12-31T09:36:00Z"/>
  <w16cex:commentExtensible w16cex:durableId="47125C48" w16cex:dateUtc="2025-01-23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D31D71" w16cid:durableId="0EBFDCCC"/>
  <w16cid:commentId w16cid:paraId="03D137C9" w16cid:durableId="14F989BE"/>
  <w16cid:commentId w16cid:paraId="6D496547" w16cid:durableId="2767F81C"/>
  <w16cid:commentId w16cid:paraId="1CBAE3C8" w16cid:durableId="275A8F31"/>
  <w16cid:commentId w16cid:paraId="1F21EFDA" w16cid:durableId="47125C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85D9D" w14:textId="77777777" w:rsidR="0068636E" w:rsidRDefault="0068636E">
      <w:r>
        <w:separator/>
      </w:r>
    </w:p>
  </w:endnote>
  <w:endnote w:type="continuationSeparator" w:id="0">
    <w:p w14:paraId="7CA32B26" w14:textId="77777777" w:rsidR="0068636E" w:rsidRDefault="0068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54D1" w14:textId="77777777" w:rsidR="00901361" w:rsidRDefault="00901361">
    <w:pPr>
      <w:pStyle w:val="Stopka"/>
      <w:tabs>
        <w:tab w:val="clear" w:pos="4536"/>
        <w:tab w:val="clear" w:pos="9072"/>
        <w:tab w:val="right" w:pos="9070"/>
        <w:tab w:val="right" w:pos="14040"/>
      </w:tabs>
      <w:rPr>
        <w:rFonts w:ascii="Arial" w:hAnsi="Arial" w:cs="Arial"/>
        <w:sz w:val="20"/>
        <w:u w:val="single"/>
      </w:rPr>
    </w:pPr>
    <w:r>
      <w:rPr>
        <w:rFonts w:ascii="Arial" w:hAnsi="Arial" w:cs="Arial"/>
        <w:sz w:val="20"/>
        <w:u w:val="single"/>
      </w:rPr>
      <w:tab/>
    </w:r>
  </w:p>
  <w:p w14:paraId="5A73B7DB" w14:textId="77777777" w:rsidR="00901361" w:rsidRDefault="00901361">
    <w:pPr>
      <w:pStyle w:val="Stopka"/>
      <w:rPr>
        <w:rFonts w:ascii="Arial" w:hAnsi="Arial" w:cs="Arial"/>
        <w:b/>
        <w:bCs/>
        <w:sz w:val="20"/>
      </w:rPr>
    </w:pPr>
  </w:p>
  <w:p w14:paraId="246135E9" w14:textId="77777777" w:rsidR="00901361" w:rsidRPr="000B33BA" w:rsidRDefault="00901361" w:rsidP="005E3D5E">
    <w:pPr>
      <w:pStyle w:val="Stopka"/>
      <w:jc w:val="right"/>
      <w:rPr>
        <w:rFonts w:cs="Arial"/>
        <w:sz w:val="16"/>
        <w:szCs w:val="16"/>
      </w:rPr>
    </w:pPr>
    <w:r w:rsidRPr="00E63803">
      <w:rPr>
        <w:rFonts w:cs="Arial"/>
        <w:sz w:val="20"/>
      </w:rPr>
      <w:tab/>
    </w:r>
    <w:r w:rsidRPr="000B33BA">
      <w:rPr>
        <w:rStyle w:val="Numerstrony"/>
        <w:rFonts w:cs="Arial"/>
        <w:sz w:val="16"/>
        <w:szCs w:val="16"/>
      </w:rPr>
      <w:fldChar w:fldCharType="begin"/>
    </w:r>
    <w:r w:rsidRPr="000B33BA">
      <w:rPr>
        <w:rStyle w:val="Numerstrony"/>
        <w:rFonts w:cs="Arial"/>
        <w:sz w:val="16"/>
        <w:szCs w:val="16"/>
      </w:rPr>
      <w:instrText xml:space="preserve"> PAGE </w:instrText>
    </w:r>
    <w:r w:rsidRPr="000B33BA">
      <w:rPr>
        <w:rStyle w:val="Numerstrony"/>
        <w:rFonts w:cs="Arial"/>
        <w:sz w:val="16"/>
        <w:szCs w:val="16"/>
      </w:rPr>
      <w:fldChar w:fldCharType="separate"/>
    </w:r>
    <w:r w:rsidR="00CD748A">
      <w:rPr>
        <w:rStyle w:val="Numerstrony"/>
        <w:rFonts w:cs="Arial"/>
        <w:sz w:val="16"/>
        <w:szCs w:val="16"/>
      </w:rPr>
      <w:t>1</w:t>
    </w:r>
    <w:r w:rsidRPr="000B33BA">
      <w:rPr>
        <w:rStyle w:val="Numerstrony"/>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0B26" w14:textId="77777777" w:rsidR="0068636E" w:rsidRDefault="0068636E">
      <w:r>
        <w:separator/>
      </w:r>
    </w:p>
  </w:footnote>
  <w:footnote w:type="continuationSeparator" w:id="0">
    <w:p w14:paraId="62C05360" w14:textId="77777777" w:rsidR="0068636E" w:rsidRDefault="00686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823E" w14:textId="29B06560" w:rsidR="00901361" w:rsidRPr="00E63803" w:rsidRDefault="00CD4BD8" w:rsidP="00ED1B69">
    <w:pPr>
      <w:pStyle w:val="Nagwek"/>
      <w:tabs>
        <w:tab w:val="clear" w:pos="4536"/>
        <w:tab w:val="clear" w:pos="9072"/>
        <w:tab w:val="right" w:pos="14040"/>
      </w:tabs>
      <w:jc w:val="left"/>
      <w:rPr>
        <w:rFonts w:cs="Arial"/>
        <w:b/>
        <w:bCs/>
        <w:sz w:val="22"/>
      </w:rPr>
    </w:pPr>
    <w:r>
      <w:rPr>
        <w:rFonts w:cs="Arial"/>
        <w:b/>
        <w:bCs/>
        <w:smallCaps/>
        <w:sz w:val="22"/>
      </w:rPr>
      <w:t>Wprowadzenie do sprawozdania</w:t>
    </w:r>
    <w:r w:rsidR="007559CF" w:rsidRPr="00785F23">
      <w:rPr>
        <w:rFonts w:cs="Arial"/>
        <w:b/>
        <w:bCs/>
        <w:smallCaps/>
        <w:sz w:val="22"/>
      </w:rPr>
      <w:t xml:space="preserve"> finansowe</w:t>
    </w:r>
    <w:r>
      <w:rPr>
        <w:rFonts w:cs="Arial"/>
        <w:b/>
        <w:bCs/>
        <w:smallCaps/>
        <w:sz w:val="22"/>
      </w:rPr>
      <w:t>go</w:t>
    </w:r>
    <w:r w:rsidR="007559CF" w:rsidRPr="00785F23">
      <w:rPr>
        <w:rFonts w:cs="Arial"/>
        <w:b/>
        <w:bCs/>
        <w:smallCaps/>
        <w:sz w:val="22"/>
      </w:rPr>
      <w:t xml:space="preserve"> </w:t>
    </w:r>
    <w:r w:rsidR="007B6A34" w:rsidRPr="00785F23">
      <w:rPr>
        <w:rFonts w:cs="Arial"/>
        <w:b/>
        <w:bCs/>
        <w:smallCaps/>
        <w:sz w:val="22"/>
      </w:rPr>
      <w:t xml:space="preserve">na dzień </w:t>
    </w:r>
    <w:r w:rsidR="007B6A34" w:rsidRPr="00CD748A">
      <w:rPr>
        <w:rFonts w:cs="Arial"/>
        <w:b/>
        <w:bCs/>
        <w:smallCaps/>
        <w:sz w:val="22"/>
        <w:highlight w:val="yellow"/>
      </w:rPr>
      <w:t xml:space="preserve">31 grudnia </w:t>
    </w:r>
    <w:r w:rsidR="0096004C">
      <w:rPr>
        <w:rFonts w:cs="Arial"/>
        <w:b/>
        <w:bCs/>
        <w:smallCaps/>
        <w:sz w:val="22"/>
        <w:highlight w:val="yellow"/>
      </w:rPr>
      <w:t>202</w:t>
    </w:r>
    <w:r w:rsidR="000B22D3" w:rsidRPr="000B22D3">
      <w:rPr>
        <w:rFonts w:cs="Arial"/>
        <w:b/>
        <w:bCs/>
        <w:smallCaps/>
        <w:sz w:val="22"/>
        <w:highlight w:val="yellow"/>
      </w:rPr>
      <w:t>5</w:t>
    </w:r>
    <w:r w:rsidR="00FB3199" w:rsidRPr="00785F23">
      <w:rPr>
        <w:rFonts w:cs="Arial"/>
        <w:b/>
        <w:bCs/>
        <w:smallCaps/>
        <w:sz w:val="22"/>
      </w:rPr>
      <w:t xml:space="preserve"> </w:t>
    </w:r>
    <w:r w:rsidR="007B6A34" w:rsidRPr="00785F23">
      <w:rPr>
        <w:rFonts w:cs="Arial"/>
        <w:b/>
        <w:bCs/>
        <w:smallCaps/>
        <w:sz w:val="22"/>
      </w:rPr>
      <w:t>r.</w:t>
    </w:r>
    <w:r w:rsidR="00ED1B69">
      <w:rPr>
        <w:rFonts w:cs="Arial"/>
        <w:b/>
        <w:bCs/>
        <w:sz w:val="22"/>
      </w:rPr>
      <w:br/>
    </w:r>
    <w:r w:rsidR="007B6A34" w:rsidRPr="007B6A34">
      <w:rPr>
        <w:rFonts w:cs="Arial"/>
        <w:b/>
        <w:bCs/>
        <w:sz w:val="22"/>
      </w:rPr>
      <w:t>[</w:t>
    </w:r>
    <w:r w:rsidR="007B6A34" w:rsidRPr="00ED1B69">
      <w:rPr>
        <w:rFonts w:cs="Arial"/>
        <w:b/>
        <w:bCs/>
        <w:sz w:val="22"/>
        <w:highlight w:val="yellow"/>
      </w:rPr>
      <w:t>nazwa podmiotu</w:t>
    </w:r>
    <w:r w:rsidR="007B6A34" w:rsidRPr="007B6A34">
      <w:rPr>
        <w:rFonts w:cs="Arial"/>
        <w:b/>
        <w:bCs/>
        <w:sz w:val="22"/>
      </w:rPr>
      <w:t>]</w:t>
    </w:r>
  </w:p>
  <w:p w14:paraId="755D61E2" w14:textId="77777777" w:rsidR="00901361" w:rsidRPr="00785F23" w:rsidRDefault="00785F23" w:rsidP="00290436">
    <w:pPr>
      <w:pStyle w:val="Nagwek"/>
      <w:rPr>
        <w:rFonts w:cs="Arial"/>
        <w:b/>
        <w:bCs/>
        <w:smallCaps/>
        <w:sz w:val="22"/>
      </w:rPr>
    </w:pPr>
    <w:r w:rsidRPr="00785F23">
      <w:rPr>
        <w:rFonts w:cs="Arial"/>
        <w:b/>
        <w:bCs/>
        <w:smallCaps/>
        <w:sz w:val="22"/>
      </w:rPr>
      <w:t xml:space="preserve">Omówienie przyjętych zasad (polityki) rachunkowości </w:t>
    </w:r>
  </w:p>
  <w:p w14:paraId="1A810162" w14:textId="77777777" w:rsidR="00901361" w:rsidRPr="00785F23" w:rsidRDefault="00901361" w:rsidP="00785F23">
    <w:pPr>
      <w:pStyle w:val="Nagwek"/>
      <w:tabs>
        <w:tab w:val="clear" w:pos="4536"/>
        <w:tab w:val="right" w:pos="14040"/>
      </w:tabs>
      <w:rPr>
        <w:rFonts w:cs="Arial"/>
        <w:sz w:val="22"/>
        <w:u w:val="single"/>
      </w:rPr>
    </w:pPr>
    <w:r w:rsidRPr="00E63803">
      <w:rPr>
        <w:rFonts w:cs="Arial"/>
        <w:sz w:val="22"/>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23567"/>
    <w:multiLevelType w:val="hybridMultilevel"/>
    <w:tmpl w:val="67E05D4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EE56B1"/>
    <w:multiLevelType w:val="hybridMultilevel"/>
    <w:tmpl w:val="0E0E9A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D484DDF"/>
    <w:multiLevelType w:val="hybridMultilevel"/>
    <w:tmpl w:val="69045B82"/>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 w15:restartNumberingAfterBreak="0">
    <w:nsid w:val="361C0AC7"/>
    <w:multiLevelType w:val="hybridMultilevel"/>
    <w:tmpl w:val="10D63FFC"/>
    <w:lvl w:ilvl="0" w:tplc="FFFFFFFF">
      <w:start w:val="1"/>
      <w:numFmt w:val="lowerLetter"/>
      <w:lvlText w:val="%1)"/>
      <w:lvlJc w:val="left"/>
      <w:pPr>
        <w:ind w:left="720" w:hanging="360"/>
      </w:pPr>
      <w:rPr>
        <w:rFonts w:ascii="Calibri" w:hAnsi="Calibri"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866D5E"/>
    <w:multiLevelType w:val="hybridMultilevel"/>
    <w:tmpl w:val="EC96D9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DB21BA"/>
    <w:multiLevelType w:val="hybridMultilevel"/>
    <w:tmpl w:val="2E141AD6"/>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452D0E8F"/>
    <w:multiLevelType w:val="hybridMultilevel"/>
    <w:tmpl w:val="747A00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7FA17BC"/>
    <w:multiLevelType w:val="hybridMultilevel"/>
    <w:tmpl w:val="E85EDC00"/>
    <w:lvl w:ilvl="0" w:tplc="340C0CF0">
      <w:start w:val="1"/>
      <w:numFmt w:val="lowerLetter"/>
      <w:lvlText w:val="%1)"/>
      <w:lvlJc w:val="left"/>
      <w:pPr>
        <w:ind w:left="720" w:hanging="360"/>
      </w:pPr>
      <w:rPr>
        <w:rFonts w:ascii="Arial" w:hAnsi="Arial" w:hint="default"/>
        <w:caps w:val="0"/>
        <w:strike w:val="0"/>
        <w:dstrike w:val="0"/>
        <w:vanish w:val="0"/>
        <w:sz w:val="20"/>
        <w:vertAlign w:val="baseline"/>
      </w:rPr>
    </w:lvl>
    <w:lvl w:ilvl="1" w:tplc="9918BBAE">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1725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112326"/>
    <w:multiLevelType w:val="hybridMultilevel"/>
    <w:tmpl w:val="69C638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3A7192"/>
    <w:multiLevelType w:val="hybridMultilevel"/>
    <w:tmpl w:val="0120683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D45E1C"/>
    <w:multiLevelType w:val="hybridMultilevel"/>
    <w:tmpl w:val="9CDC4D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406F56"/>
    <w:multiLevelType w:val="hybridMultilevel"/>
    <w:tmpl w:val="26748856"/>
    <w:lvl w:ilvl="0" w:tplc="4E80E8A2">
      <w:start w:val="1"/>
      <w:numFmt w:val="lowerLetter"/>
      <w:lvlText w:val="%1)"/>
      <w:lvlJc w:val="left"/>
      <w:pPr>
        <w:ind w:left="720" w:hanging="360"/>
      </w:pPr>
      <w:rPr>
        <w:rFonts w:ascii="Calibri" w:hAnsi="Calibri" w:cs="Arial" w:hint="default"/>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CA063A"/>
    <w:multiLevelType w:val="hybridMultilevel"/>
    <w:tmpl w:val="0C882BF6"/>
    <w:lvl w:ilvl="0" w:tplc="3EAA8F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DD1C47"/>
    <w:multiLevelType w:val="hybridMultilevel"/>
    <w:tmpl w:val="10D63FFC"/>
    <w:lvl w:ilvl="0" w:tplc="E4B0F514">
      <w:start w:val="1"/>
      <w:numFmt w:val="lowerLetter"/>
      <w:lvlText w:val="%1)"/>
      <w:lvlJc w:val="left"/>
      <w:pPr>
        <w:ind w:left="720" w:hanging="360"/>
      </w:pPr>
      <w:rPr>
        <w:rFonts w:ascii="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D83404"/>
    <w:multiLevelType w:val="hybridMultilevel"/>
    <w:tmpl w:val="8BD2726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D54E73"/>
    <w:multiLevelType w:val="hybridMultilevel"/>
    <w:tmpl w:val="B582DC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AF64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35273230">
    <w:abstractNumId w:val="4"/>
  </w:num>
  <w:num w:numId="2" w16cid:durableId="159976682">
    <w:abstractNumId w:val="6"/>
  </w:num>
  <w:num w:numId="3" w16cid:durableId="160119881">
    <w:abstractNumId w:val="5"/>
  </w:num>
  <w:num w:numId="4" w16cid:durableId="702100212">
    <w:abstractNumId w:val="2"/>
  </w:num>
  <w:num w:numId="5" w16cid:durableId="1746025312">
    <w:abstractNumId w:val="8"/>
  </w:num>
  <w:num w:numId="6" w16cid:durableId="1425347887">
    <w:abstractNumId w:val="1"/>
  </w:num>
  <w:num w:numId="7" w16cid:durableId="1624532062">
    <w:abstractNumId w:val="7"/>
  </w:num>
  <w:num w:numId="8" w16cid:durableId="1354304457">
    <w:abstractNumId w:val="12"/>
  </w:num>
  <w:num w:numId="9" w16cid:durableId="271396732">
    <w:abstractNumId w:val="14"/>
  </w:num>
  <w:num w:numId="10" w16cid:durableId="1647777487">
    <w:abstractNumId w:val="17"/>
  </w:num>
  <w:num w:numId="11" w16cid:durableId="14233253">
    <w:abstractNumId w:val="13"/>
  </w:num>
  <w:num w:numId="12" w16cid:durableId="280889802">
    <w:abstractNumId w:val="16"/>
  </w:num>
  <w:num w:numId="13" w16cid:durableId="328561490">
    <w:abstractNumId w:val="11"/>
  </w:num>
  <w:num w:numId="14" w16cid:durableId="933780490">
    <w:abstractNumId w:val="9"/>
  </w:num>
  <w:num w:numId="15" w16cid:durableId="1541935879">
    <w:abstractNumId w:val="0"/>
  </w:num>
  <w:num w:numId="16" w16cid:durableId="1294605255">
    <w:abstractNumId w:val="15"/>
  </w:num>
  <w:num w:numId="17" w16cid:durableId="1164248884">
    <w:abstractNumId w:val="10"/>
  </w:num>
  <w:num w:numId="18" w16cid:durableId="37211985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z Motala">
    <w15:presenceInfo w15:providerId="Windows Live" w15:userId="35d37b24f2df4bb7"/>
  </w15:person>
  <w15:person w15:author="Marta Baranowska">
    <w15:presenceInfo w15:providerId="Windows Live" w15:userId="170e7009613c42e8"/>
  </w15:person>
  <w15:person w15:author="m.baranowska">
    <w15:presenceInfo w15:providerId="None" w15:userId="m.baran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FF2"/>
    <w:rsid w:val="00000CE9"/>
    <w:rsid w:val="000025FC"/>
    <w:rsid w:val="00015175"/>
    <w:rsid w:val="0001759D"/>
    <w:rsid w:val="00024090"/>
    <w:rsid w:val="00025713"/>
    <w:rsid w:val="00025892"/>
    <w:rsid w:val="000557CC"/>
    <w:rsid w:val="00056E54"/>
    <w:rsid w:val="0006790A"/>
    <w:rsid w:val="00067937"/>
    <w:rsid w:val="00080D93"/>
    <w:rsid w:val="0008464C"/>
    <w:rsid w:val="0009147D"/>
    <w:rsid w:val="00092A77"/>
    <w:rsid w:val="00092D58"/>
    <w:rsid w:val="000A27F2"/>
    <w:rsid w:val="000B22D3"/>
    <w:rsid w:val="000B33BA"/>
    <w:rsid w:val="000C0AAD"/>
    <w:rsid w:val="000C118F"/>
    <w:rsid w:val="000C3C12"/>
    <w:rsid w:val="000C522F"/>
    <w:rsid w:val="000C7C42"/>
    <w:rsid w:val="000D12E1"/>
    <w:rsid w:val="000D41A5"/>
    <w:rsid w:val="000D4264"/>
    <w:rsid w:val="000E3C4C"/>
    <w:rsid w:val="000E7C8F"/>
    <w:rsid w:val="000F5C1C"/>
    <w:rsid w:val="00106E8D"/>
    <w:rsid w:val="00115437"/>
    <w:rsid w:val="001167D9"/>
    <w:rsid w:val="001254A0"/>
    <w:rsid w:val="001378D3"/>
    <w:rsid w:val="00140983"/>
    <w:rsid w:val="001462F2"/>
    <w:rsid w:val="001603C7"/>
    <w:rsid w:val="00161F86"/>
    <w:rsid w:val="00170E6A"/>
    <w:rsid w:val="001764DD"/>
    <w:rsid w:val="001805B0"/>
    <w:rsid w:val="001A0CDC"/>
    <w:rsid w:val="001A1F53"/>
    <w:rsid w:val="001A3E58"/>
    <w:rsid w:val="001A4833"/>
    <w:rsid w:val="001A65D1"/>
    <w:rsid w:val="001B2AB0"/>
    <w:rsid w:val="001B52EA"/>
    <w:rsid w:val="001B7808"/>
    <w:rsid w:val="001C2FFB"/>
    <w:rsid w:val="001C3376"/>
    <w:rsid w:val="001C371A"/>
    <w:rsid w:val="001D461A"/>
    <w:rsid w:val="001D6B1E"/>
    <w:rsid w:val="001D7C15"/>
    <w:rsid w:val="001F17F4"/>
    <w:rsid w:val="001F4691"/>
    <w:rsid w:val="0020476D"/>
    <w:rsid w:val="00207CB1"/>
    <w:rsid w:val="00210AA0"/>
    <w:rsid w:val="00214E4A"/>
    <w:rsid w:val="00215D1F"/>
    <w:rsid w:val="002212F8"/>
    <w:rsid w:val="00226200"/>
    <w:rsid w:val="00231F07"/>
    <w:rsid w:val="00235845"/>
    <w:rsid w:val="00245A5B"/>
    <w:rsid w:val="00245D45"/>
    <w:rsid w:val="00247E88"/>
    <w:rsid w:val="00252838"/>
    <w:rsid w:val="00264604"/>
    <w:rsid w:val="002723ED"/>
    <w:rsid w:val="00284EB8"/>
    <w:rsid w:val="0028613F"/>
    <w:rsid w:val="00290436"/>
    <w:rsid w:val="00295912"/>
    <w:rsid w:val="002A2C11"/>
    <w:rsid w:val="002A4875"/>
    <w:rsid w:val="002B7310"/>
    <w:rsid w:val="002C6008"/>
    <w:rsid w:val="002D07C6"/>
    <w:rsid w:val="002D33CF"/>
    <w:rsid w:val="002D5359"/>
    <w:rsid w:val="002F1BAA"/>
    <w:rsid w:val="002F1FC1"/>
    <w:rsid w:val="002F56AE"/>
    <w:rsid w:val="00300F9F"/>
    <w:rsid w:val="003049C5"/>
    <w:rsid w:val="00304A46"/>
    <w:rsid w:val="0031002F"/>
    <w:rsid w:val="0031313B"/>
    <w:rsid w:val="00321557"/>
    <w:rsid w:val="00321DA5"/>
    <w:rsid w:val="00322065"/>
    <w:rsid w:val="00336142"/>
    <w:rsid w:val="00346B8F"/>
    <w:rsid w:val="00377A5B"/>
    <w:rsid w:val="00393511"/>
    <w:rsid w:val="003B08D9"/>
    <w:rsid w:val="003C3356"/>
    <w:rsid w:val="003C5E75"/>
    <w:rsid w:val="003D6660"/>
    <w:rsid w:val="003D708B"/>
    <w:rsid w:val="003E175D"/>
    <w:rsid w:val="003E38A3"/>
    <w:rsid w:val="003E688D"/>
    <w:rsid w:val="003E7381"/>
    <w:rsid w:val="004059C6"/>
    <w:rsid w:val="004162CD"/>
    <w:rsid w:val="0042217F"/>
    <w:rsid w:val="00425601"/>
    <w:rsid w:val="0042777C"/>
    <w:rsid w:val="00431766"/>
    <w:rsid w:val="0044300F"/>
    <w:rsid w:val="004445AC"/>
    <w:rsid w:val="00444ADC"/>
    <w:rsid w:val="00447F47"/>
    <w:rsid w:val="00450C43"/>
    <w:rsid w:val="0047730D"/>
    <w:rsid w:val="00482D17"/>
    <w:rsid w:val="00483DB8"/>
    <w:rsid w:val="00490536"/>
    <w:rsid w:val="004912AB"/>
    <w:rsid w:val="0049343A"/>
    <w:rsid w:val="004955A4"/>
    <w:rsid w:val="004967A9"/>
    <w:rsid w:val="004C4040"/>
    <w:rsid w:val="004D07BE"/>
    <w:rsid w:val="004D161E"/>
    <w:rsid w:val="004D1F4E"/>
    <w:rsid w:val="004E4942"/>
    <w:rsid w:val="004E5353"/>
    <w:rsid w:val="004E660A"/>
    <w:rsid w:val="004F2DDB"/>
    <w:rsid w:val="0050533F"/>
    <w:rsid w:val="00505BFC"/>
    <w:rsid w:val="0051021B"/>
    <w:rsid w:val="005154F1"/>
    <w:rsid w:val="005171DE"/>
    <w:rsid w:val="0052760F"/>
    <w:rsid w:val="005320C7"/>
    <w:rsid w:val="0053693A"/>
    <w:rsid w:val="005379C9"/>
    <w:rsid w:val="005607AE"/>
    <w:rsid w:val="00563D9D"/>
    <w:rsid w:val="00571D7D"/>
    <w:rsid w:val="00575541"/>
    <w:rsid w:val="005755FE"/>
    <w:rsid w:val="00581882"/>
    <w:rsid w:val="00591215"/>
    <w:rsid w:val="00592841"/>
    <w:rsid w:val="0059351F"/>
    <w:rsid w:val="00595838"/>
    <w:rsid w:val="005A56DA"/>
    <w:rsid w:val="005B07E7"/>
    <w:rsid w:val="005B5C0E"/>
    <w:rsid w:val="005C1E31"/>
    <w:rsid w:val="005D4B47"/>
    <w:rsid w:val="005E3D5E"/>
    <w:rsid w:val="00601EEC"/>
    <w:rsid w:val="00602B0C"/>
    <w:rsid w:val="0061275B"/>
    <w:rsid w:val="006301EF"/>
    <w:rsid w:val="0063112B"/>
    <w:rsid w:val="0065106E"/>
    <w:rsid w:val="0065183B"/>
    <w:rsid w:val="0065517D"/>
    <w:rsid w:val="00665A1D"/>
    <w:rsid w:val="00672293"/>
    <w:rsid w:val="0067496B"/>
    <w:rsid w:val="00675CD5"/>
    <w:rsid w:val="00680837"/>
    <w:rsid w:val="0068145C"/>
    <w:rsid w:val="00682B5B"/>
    <w:rsid w:val="0068636E"/>
    <w:rsid w:val="00692890"/>
    <w:rsid w:val="006A2AA7"/>
    <w:rsid w:val="006C49EB"/>
    <w:rsid w:val="006C5268"/>
    <w:rsid w:val="006D737D"/>
    <w:rsid w:val="006E3CE2"/>
    <w:rsid w:val="006E7E82"/>
    <w:rsid w:val="006F29D8"/>
    <w:rsid w:val="006F614A"/>
    <w:rsid w:val="00702B50"/>
    <w:rsid w:val="00705CD7"/>
    <w:rsid w:val="007178FC"/>
    <w:rsid w:val="0072350E"/>
    <w:rsid w:val="00724764"/>
    <w:rsid w:val="00740C8D"/>
    <w:rsid w:val="007559CF"/>
    <w:rsid w:val="00757595"/>
    <w:rsid w:val="007578B6"/>
    <w:rsid w:val="00762236"/>
    <w:rsid w:val="007666E3"/>
    <w:rsid w:val="00777B67"/>
    <w:rsid w:val="00785F23"/>
    <w:rsid w:val="00787D52"/>
    <w:rsid w:val="007929E7"/>
    <w:rsid w:val="007B6A34"/>
    <w:rsid w:val="007B772F"/>
    <w:rsid w:val="007C1E38"/>
    <w:rsid w:val="007D3871"/>
    <w:rsid w:val="007E393A"/>
    <w:rsid w:val="007E6A86"/>
    <w:rsid w:val="008053F5"/>
    <w:rsid w:val="00815D0B"/>
    <w:rsid w:val="00821004"/>
    <w:rsid w:val="0082152C"/>
    <w:rsid w:val="00821A17"/>
    <w:rsid w:val="0082295F"/>
    <w:rsid w:val="00824FCD"/>
    <w:rsid w:val="00826587"/>
    <w:rsid w:val="00826D71"/>
    <w:rsid w:val="008337DF"/>
    <w:rsid w:val="008347BF"/>
    <w:rsid w:val="00835EDC"/>
    <w:rsid w:val="008370A8"/>
    <w:rsid w:val="00844542"/>
    <w:rsid w:val="00847C98"/>
    <w:rsid w:val="00864FC1"/>
    <w:rsid w:val="00870242"/>
    <w:rsid w:val="00886A4E"/>
    <w:rsid w:val="00886BC7"/>
    <w:rsid w:val="0089204A"/>
    <w:rsid w:val="00893D9A"/>
    <w:rsid w:val="008A4490"/>
    <w:rsid w:val="008C045F"/>
    <w:rsid w:val="008C2D56"/>
    <w:rsid w:val="008C4D36"/>
    <w:rsid w:val="008D4B7A"/>
    <w:rsid w:val="008E77CA"/>
    <w:rsid w:val="00901361"/>
    <w:rsid w:val="00904E92"/>
    <w:rsid w:val="0090522B"/>
    <w:rsid w:val="009160A5"/>
    <w:rsid w:val="00920C6E"/>
    <w:rsid w:val="00921DC2"/>
    <w:rsid w:val="00927F2F"/>
    <w:rsid w:val="00933AD6"/>
    <w:rsid w:val="00951482"/>
    <w:rsid w:val="0096004C"/>
    <w:rsid w:val="00964260"/>
    <w:rsid w:val="009707B9"/>
    <w:rsid w:val="00972080"/>
    <w:rsid w:val="00977298"/>
    <w:rsid w:val="00977DA5"/>
    <w:rsid w:val="00977FAD"/>
    <w:rsid w:val="0099456E"/>
    <w:rsid w:val="009A10F5"/>
    <w:rsid w:val="009A2147"/>
    <w:rsid w:val="009B1799"/>
    <w:rsid w:val="009C0CDF"/>
    <w:rsid w:val="009C71AB"/>
    <w:rsid w:val="009D10B3"/>
    <w:rsid w:val="009D48EC"/>
    <w:rsid w:val="009E0880"/>
    <w:rsid w:val="009E4327"/>
    <w:rsid w:val="009E4EFD"/>
    <w:rsid w:val="009E5938"/>
    <w:rsid w:val="009E7ABD"/>
    <w:rsid w:val="009F5644"/>
    <w:rsid w:val="00A079F9"/>
    <w:rsid w:val="00A21CE6"/>
    <w:rsid w:val="00A21E1E"/>
    <w:rsid w:val="00A31ABE"/>
    <w:rsid w:val="00A34B82"/>
    <w:rsid w:val="00A53334"/>
    <w:rsid w:val="00A5528F"/>
    <w:rsid w:val="00A61CBF"/>
    <w:rsid w:val="00A66BBC"/>
    <w:rsid w:val="00A85A27"/>
    <w:rsid w:val="00A86953"/>
    <w:rsid w:val="00AA01AF"/>
    <w:rsid w:val="00AA2E76"/>
    <w:rsid w:val="00AA5372"/>
    <w:rsid w:val="00AB0B89"/>
    <w:rsid w:val="00AB4C09"/>
    <w:rsid w:val="00AB5C30"/>
    <w:rsid w:val="00AC5B09"/>
    <w:rsid w:val="00AD6181"/>
    <w:rsid w:val="00AE1FB3"/>
    <w:rsid w:val="00B1134F"/>
    <w:rsid w:val="00B11F99"/>
    <w:rsid w:val="00B1653F"/>
    <w:rsid w:val="00B17017"/>
    <w:rsid w:val="00B17499"/>
    <w:rsid w:val="00B20DDD"/>
    <w:rsid w:val="00B2455A"/>
    <w:rsid w:val="00B31A94"/>
    <w:rsid w:val="00B43AC9"/>
    <w:rsid w:val="00B45CDC"/>
    <w:rsid w:val="00B50F8D"/>
    <w:rsid w:val="00B511EE"/>
    <w:rsid w:val="00B5322B"/>
    <w:rsid w:val="00B63D98"/>
    <w:rsid w:val="00B660D5"/>
    <w:rsid w:val="00B86299"/>
    <w:rsid w:val="00B8631E"/>
    <w:rsid w:val="00B913E2"/>
    <w:rsid w:val="00BA4A39"/>
    <w:rsid w:val="00BA51A7"/>
    <w:rsid w:val="00BA53C6"/>
    <w:rsid w:val="00BC1BE0"/>
    <w:rsid w:val="00BC74E1"/>
    <w:rsid w:val="00BE139F"/>
    <w:rsid w:val="00BE4C6E"/>
    <w:rsid w:val="00BF5AEA"/>
    <w:rsid w:val="00C063E8"/>
    <w:rsid w:val="00C244EA"/>
    <w:rsid w:val="00C246DA"/>
    <w:rsid w:val="00C36A47"/>
    <w:rsid w:val="00C51D8F"/>
    <w:rsid w:val="00C60104"/>
    <w:rsid w:val="00C65350"/>
    <w:rsid w:val="00C6668B"/>
    <w:rsid w:val="00C74101"/>
    <w:rsid w:val="00C75EDE"/>
    <w:rsid w:val="00C76464"/>
    <w:rsid w:val="00C77B3D"/>
    <w:rsid w:val="00C87CD6"/>
    <w:rsid w:val="00C90352"/>
    <w:rsid w:val="00C94C57"/>
    <w:rsid w:val="00C971B6"/>
    <w:rsid w:val="00CB17F5"/>
    <w:rsid w:val="00CB1840"/>
    <w:rsid w:val="00CC3141"/>
    <w:rsid w:val="00CC7C83"/>
    <w:rsid w:val="00CD4551"/>
    <w:rsid w:val="00CD4BD8"/>
    <w:rsid w:val="00CD6F59"/>
    <w:rsid w:val="00CD748A"/>
    <w:rsid w:val="00CE6E2A"/>
    <w:rsid w:val="00CF17DD"/>
    <w:rsid w:val="00CF61FD"/>
    <w:rsid w:val="00D259EF"/>
    <w:rsid w:val="00D30B4E"/>
    <w:rsid w:val="00D32AE7"/>
    <w:rsid w:val="00D43DEA"/>
    <w:rsid w:val="00D46351"/>
    <w:rsid w:val="00D62EBB"/>
    <w:rsid w:val="00D646D2"/>
    <w:rsid w:val="00D74C89"/>
    <w:rsid w:val="00D77487"/>
    <w:rsid w:val="00D80550"/>
    <w:rsid w:val="00DB7FF2"/>
    <w:rsid w:val="00DD4C71"/>
    <w:rsid w:val="00DD7B9F"/>
    <w:rsid w:val="00DF01B5"/>
    <w:rsid w:val="00DF1756"/>
    <w:rsid w:val="00DF3FC4"/>
    <w:rsid w:val="00DF63BE"/>
    <w:rsid w:val="00E017F4"/>
    <w:rsid w:val="00E21B1A"/>
    <w:rsid w:val="00E220D1"/>
    <w:rsid w:val="00E40CD7"/>
    <w:rsid w:val="00E60086"/>
    <w:rsid w:val="00E63803"/>
    <w:rsid w:val="00E67022"/>
    <w:rsid w:val="00E7255D"/>
    <w:rsid w:val="00E7562D"/>
    <w:rsid w:val="00E846F1"/>
    <w:rsid w:val="00E91402"/>
    <w:rsid w:val="00EA3FC8"/>
    <w:rsid w:val="00EA7381"/>
    <w:rsid w:val="00EB0534"/>
    <w:rsid w:val="00EC13BC"/>
    <w:rsid w:val="00EC2024"/>
    <w:rsid w:val="00EC439A"/>
    <w:rsid w:val="00EC4C91"/>
    <w:rsid w:val="00ED084A"/>
    <w:rsid w:val="00ED1B69"/>
    <w:rsid w:val="00ED2990"/>
    <w:rsid w:val="00ED36D9"/>
    <w:rsid w:val="00EE0418"/>
    <w:rsid w:val="00EE59C1"/>
    <w:rsid w:val="00EE7314"/>
    <w:rsid w:val="00EF444B"/>
    <w:rsid w:val="00F01496"/>
    <w:rsid w:val="00F01A1D"/>
    <w:rsid w:val="00F01BAF"/>
    <w:rsid w:val="00F157A5"/>
    <w:rsid w:val="00F211A0"/>
    <w:rsid w:val="00F21277"/>
    <w:rsid w:val="00F23C85"/>
    <w:rsid w:val="00F36EB7"/>
    <w:rsid w:val="00F42CB0"/>
    <w:rsid w:val="00F46C65"/>
    <w:rsid w:val="00F61BEB"/>
    <w:rsid w:val="00F6318C"/>
    <w:rsid w:val="00F76FC6"/>
    <w:rsid w:val="00F81B29"/>
    <w:rsid w:val="00F9021D"/>
    <w:rsid w:val="00F93D44"/>
    <w:rsid w:val="00FA3598"/>
    <w:rsid w:val="00FA4380"/>
    <w:rsid w:val="00FA4600"/>
    <w:rsid w:val="00FB284F"/>
    <w:rsid w:val="00FB3199"/>
    <w:rsid w:val="00FB4346"/>
    <w:rsid w:val="00FC0C6A"/>
    <w:rsid w:val="00FC0F2B"/>
    <w:rsid w:val="00FC4D3C"/>
    <w:rsid w:val="00FC670C"/>
    <w:rsid w:val="00FD68CB"/>
    <w:rsid w:val="00FE77F6"/>
    <w:rsid w:val="00FF11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5D76D"/>
  <w15:chartTrackingRefBased/>
  <w15:docId w15:val="{09BB7507-B0B3-4F63-A0D0-0FBFD172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318C"/>
    <w:pPr>
      <w:spacing w:before="120" w:after="120"/>
      <w:jc w:val="both"/>
    </w:pPr>
    <w:rPr>
      <w:rFonts w:ascii="Calibri" w:hAnsi="Calibri"/>
      <w:sz w:val="22"/>
      <w:szCs w:val="24"/>
    </w:rPr>
  </w:style>
  <w:style w:type="paragraph" w:styleId="Nagwek1">
    <w:name w:val="heading 1"/>
    <w:basedOn w:val="Normalny"/>
    <w:next w:val="Normalny"/>
    <w:qFormat/>
    <w:rsid w:val="00B43AC9"/>
    <w:pPr>
      <w:keepNext/>
      <w:spacing w:before="240"/>
      <w:outlineLvl w:val="0"/>
    </w:pPr>
    <w:rPr>
      <w:b/>
      <w:smallCaps/>
      <w:szCs w:val="20"/>
    </w:rPr>
  </w:style>
  <w:style w:type="paragraph" w:styleId="Nagwek2">
    <w:name w:val="heading 2"/>
    <w:basedOn w:val="Normalny"/>
    <w:next w:val="Normalny"/>
    <w:qFormat/>
    <w:pPr>
      <w:keepNext/>
      <w:outlineLvl w:val="1"/>
    </w:pPr>
    <w:rPr>
      <w:rFonts w:ascii="Times New Roman" w:eastAsia="Arial Unicode MS" w:hAnsi="Times New Roman"/>
      <w:b/>
      <w:bCs/>
      <w:i/>
      <w:iCs/>
      <w:color w:val="FF0000"/>
      <w:sz w:val="20"/>
      <w:szCs w:val="20"/>
    </w:rPr>
  </w:style>
  <w:style w:type="paragraph" w:styleId="Nagwek3">
    <w:name w:val="heading 3"/>
    <w:basedOn w:val="Normalny"/>
    <w:next w:val="Normalny"/>
    <w:qFormat/>
    <w:pPr>
      <w:keepNext/>
      <w:jc w:val="right"/>
      <w:outlineLvl w:val="2"/>
    </w:pPr>
    <w:rPr>
      <w:b/>
      <w:bCs/>
      <w:sz w:val="20"/>
      <w:szCs w:val="20"/>
    </w:rPr>
  </w:style>
  <w:style w:type="paragraph" w:styleId="Nagwek4">
    <w:name w:val="heading 4"/>
    <w:basedOn w:val="Normalny"/>
    <w:next w:val="Normalny"/>
    <w:qFormat/>
    <w:pPr>
      <w:keepNext/>
      <w:outlineLvl w:val="3"/>
    </w:pPr>
    <w:rPr>
      <w:rFonts w:eastAsia="Arial Unicode MS"/>
      <w:i/>
      <w:iCs/>
      <w:color w:val="FF0000"/>
      <w:sz w:val="20"/>
      <w:szCs w:val="20"/>
    </w:rPr>
  </w:style>
  <w:style w:type="paragraph" w:styleId="Nagwek5">
    <w:name w:val="heading 5"/>
    <w:basedOn w:val="Normalny"/>
    <w:next w:val="Normalny"/>
    <w:qFormat/>
    <w:pPr>
      <w:keepNext/>
      <w:outlineLvl w:val="4"/>
    </w:pPr>
    <w:rPr>
      <w:rFonts w:ascii="Arial" w:hAnsi="Arial" w:cs="Arial"/>
      <w:b/>
      <w:bCs/>
      <w:sz w:val="20"/>
      <w:szCs w:val="20"/>
    </w:rPr>
  </w:style>
  <w:style w:type="paragraph" w:styleId="Nagwek9">
    <w:name w:val="heading 9"/>
    <w:basedOn w:val="Normalny"/>
    <w:next w:val="Normalny"/>
    <w:qFormat/>
    <w:pPr>
      <w:keepNext/>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sz w:val="20"/>
      <w:szCs w:val="20"/>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3">
    <w:name w:val="Body Text 3"/>
    <w:basedOn w:val="Normalny"/>
  </w:style>
  <w:style w:type="paragraph" w:styleId="Tekstpodstawowy">
    <w:name w:val="Body Text"/>
    <w:basedOn w:val="Normalny"/>
    <w:rPr>
      <w:i/>
      <w:szCs w:val="20"/>
    </w:rPr>
  </w:style>
  <w:style w:type="paragraph" w:styleId="Tekstpodstawowy2">
    <w:name w:val="Body Text 2"/>
    <w:basedOn w:val="Normalny"/>
    <w:rPr>
      <w:sz w:val="20"/>
    </w:rPr>
  </w:style>
  <w:style w:type="paragraph" w:customStyle="1" w:styleId="xl24">
    <w:name w:val="xl24"/>
    <w:basedOn w:val="Normalny"/>
    <w:pPr>
      <w:pBdr>
        <w:top w:val="single" w:sz="4" w:space="0" w:color="auto"/>
        <w:bottom w:val="single" w:sz="4" w:space="0" w:color="auto"/>
      </w:pBdr>
      <w:spacing w:before="100" w:beforeAutospacing="1" w:after="100" w:afterAutospacing="1"/>
      <w:jc w:val="right"/>
    </w:pPr>
    <w:rPr>
      <w:rFonts w:eastAsia="Arial Unicode MS"/>
    </w:rPr>
  </w:style>
  <w:style w:type="paragraph" w:customStyle="1" w:styleId="xl25">
    <w:name w:val="xl25"/>
    <w:basedOn w:val="Normalny"/>
    <w:pPr>
      <w:spacing w:before="100" w:beforeAutospacing="1" w:after="100" w:afterAutospacing="1"/>
    </w:pPr>
    <w:rPr>
      <w:rFonts w:eastAsia="Arial Unicode MS"/>
      <w:b/>
      <w:bCs/>
    </w:rPr>
  </w:style>
  <w:style w:type="paragraph" w:customStyle="1" w:styleId="xl26">
    <w:name w:val="xl26"/>
    <w:basedOn w:val="Normalny"/>
    <w:pPr>
      <w:spacing w:before="100" w:beforeAutospacing="1" w:after="100" w:afterAutospacing="1"/>
    </w:pPr>
    <w:rPr>
      <w:rFonts w:eastAsia="Arial Unicode MS"/>
    </w:rPr>
  </w:style>
  <w:style w:type="paragraph" w:customStyle="1" w:styleId="xl27">
    <w:name w:val="xl27"/>
    <w:basedOn w:val="Normalny"/>
    <w:pPr>
      <w:spacing w:before="100" w:beforeAutospacing="1" w:after="100" w:afterAutospacing="1"/>
      <w:jc w:val="right"/>
    </w:pPr>
    <w:rPr>
      <w:rFonts w:eastAsia="Arial Unicode MS"/>
      <w:b/>
      <w:bCs/>
    </w:rPr>
  </w:style>
  <w:style w:type="paragraph" w:customStyle="1" w:styleId="xl28">
    <w:name w:val="xl28"/>
    <w:basedOn w:val="Normalny"/>
    <w:pPr>
      <w:pBdr>
        <w:top w:val="single" w:sz="4" w:space="0" w:color="auto"/>
        <w:bottom w:val="double" w:sz="6" w:space="0" w:color="auto"/>
      </w:pBdr>
      <w:spacing w:before="100" w:beforeAutospacing="1" w:after="100" w:afterAutospacing="1"/>
      <w:jc w:val="right"/>
    </w:pPr>
    <w:rPr>
      <w:rFonts w:eastAsia="Arial Unicode MS"/>
      <w:b/>
      <w:bCs/>
    </w:rPr>
  </w:style>
  <w:style w:type="paragraph" w:customStyle="1" w:styleId="xl29">
    <w:name w:val="xl29"/>
    <w:basedOn w:val="Normalny"/>
    <w:pPr>
      <w:spacing w:before="100" w:beforeAutospacing="1" w:after="100" w:afterAutospacing="1"/>
    </w:pPr>
    <w:rPr>
      <w:rFonts w:eastAsia="Arial Unicode MS"/>
      <w:b/>
      <w:bCs/>
      <w:sz w:val="18"/>
      <w:szCs w:val="18"/>
    </w:rPr>
  </w:style>
  <w:style w:type="paragraph" w:customStyle="1" w:styleId="xl30">
    <w:name w:val="xl30"/>
    <w:basedOn w:val="Normalny"/>
    <w:pPr>
      <w:spacing w:before="100" w:beforeAutospacing="1" w:after="100" w:afterAutospacing="1"/>
      <w:textAlignment w:val="center"/>
    </w:pPr>
    <w:rPr>
      <w:rFonts w:ascii="Times New Roman" w:eastAsia="Arial Unicode MS" w:hAnsi="Times New Roman"/>
      <w:sz w:val="18"/>
      <w:szCs w:val="18"/>
    </w:rPr>
  </w:style>
  <w:style w:type="paragraph" w:customStyle="1" w:styleId="xl31">
    <w:name w:val="xl31"/>
    <w:basedOn w:val="Normalny"/>
    <w:pPr>
      <w:spacing w:before="100" w:beforeAutospacing="1" w:after="100" w:afterAutospacing="1"/>
    </w:pPr>
    <w:rPr>
      <w:rFonts w:eastAsia="Arial Unicode MS"/>
      <w:sz w:val="18"/>
      <w:szCs w:val="18"/>
    </w:rPr>
  </w:style>
  <w:style w:type="paragraph" w:customStyle="1" w:styleId="xl32">
    <w:name w:val="xl32"/>
    <w:basedOn w:val="Normalny"/>
    <w:pPr>
      <w:spacing w:before="100" w:beforeAutospacing="1" w:after="100" w:afterAutospacing="1"/>
    </w:pPr>
    <w:rPr>
      <w:rFonts w:eastAsia="Arial Unicode MS"/>
      <w:sz w:val="18"/>
      <w:szCs w:val="18"/>
    </w:rPr>
  </w:style>
  <w:style w:type="paragraph" w:customStyle="1" w:styleId="xl33">
    <w:name w:val="xl33"/>
    <w:basedOn w:val="Normalny"/>
    <w:pPr>
      <w:spacing w:before="100" w:beforeAutospacing="1" w:after="100" w:afterAutospacing="1"/>
      <w:jc w:val="center"/>
      <w:textAlignment w:val="center"/>
    </w:pPr>
    <w:rPr>
      <w:rFonts w:ascii="Times New Roman" w:eastAsia="Arial Unicode MS" w:hAnsi="Times New Roman"/>
      <w:b/>
      <w:bCs/>
      <w:sz w:val="18"/>
      <w:szCs w:val="18"/>
    </w:rPr>
  </w:style>
  <w:style w:type="paragraph" w:customStyle="1" w:styleId="xl34">
    <w:name w:val="xl34"/>
    <w:basedOn w:val="Normalny"/>
    <w:pPr>
      <w:spacing w:before="100" w:beforeAutospacing="1" w:after="100" w:afterAutospacing="1"/>
      <w:textAlignment w:val="center"/>
    </w:pPr>
    <w:rPr>
      <w:rFonts w:eastAsia="Arial Unicode MS"/>
      <w:b/>
      <w:bCs/>
      <w:sz w:val="18"/>
      <w:szCs w:val="18"/>
    </w:rPr>
  </w:style>
  <w:style w:type="paragraph" w:customStyle="1" w:styleId="xl35">
    <w:name w:val="xl35"/>
    <w:basedOn w:val="Normalny"/>
    <w:pPr>
      <w:spacing w:before="100" w:beforeAutospacing="1" w:after="100" w:afterAutospacing="1"/>
      <w:jc w:val="right"/>
      <w:textAlignment w:val="center"/>
    </w:pPr>
    <w:rPr>
      <w:rFonts w:eastAsia="Arial Unicode MS"/>
      <w:b/>
      <w:bCs/>
      <w:sz w:val="18"/>
      <w:szCs w:val="18"/>
    </w:rPr>
  </w:style>
  <w:style w:type="paragraph" w:customStyle="1" w:styleId="xl36">
    <w:name w:val="xl36"/>
    <w:basedOn w:val="Normalny"/>
    <w:pPr>
      <w:spacing w:before="100" w:beforeAutospacing="1" w:after="100" w:afterAutospacing="1"/>
      <w:jc w:val="center"/>
      <w:textAlignment w:val="center"/>
    </w:pPr>
    <w:rPr>
      <w:rFonts w:eastAsia="Arial Unicode MS"/>
      <w:b/>
      <w:bCs/>
      <w:sz w:val="18"/>
      <w:szCs w:val="18"/>
    </w:rPr>
  </w:style>
  <w:style w:type="paragraph" w:customStyle="1" w:styleId="xl37">
    <w:name w:val="xl37"/>
    <w:basedOn w:val="Normalny"/>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8">
    <w:name w:val="xl38"/>
    <w:basedOn w:val="Normalny"/>
    <w:pPr>
      <w:spacing w:before="100" w:beforeAutospacing="1" w:after="100" w:afterAutospacing="1"/>
      <w:textAlignment w:val="center"/>
    </w:pPr>
    <w:rPr>
      <w:rFonts w:eastAsia="Arial Unicode MS"/>
      <w:sz w:val="18"/>
      <w:szCs w:val="18"/>
    </w:rPr>
  </w:style>
  <w:style w:type="paragraph" w:customStyle="1" w:styleId="xl39">
    <w:name w:val="xl39"/>
    <w:basedOn w:val="Normalny"/>
    <w:pPr>
      <w:spacing w:before="100" w:beforeAutospacing="1" w:after="100" w:afterAutospacing="1"/>
      <w:jc w:val="right"/>
    </w:pPr>
    <w:rPr>
      <w:rFonts w:eastAsia="Arial Unicode MS"/>
      <w:sz w:val="18"/>
      <w:szCs w:val="18"/>
    </w:rPr>
  </w:style>
  <w:style w:type="paragraph" w:customStyle="1" w:styleId="xl40">
    <w:name w:val="xl40"/>
    <w:basedOn w:val="Normalny"/>
    <w:pPr>
      <w:spacing w:before="100" w:beforeAutospacing="1" w:after="100" w:afterAutospacing="1"/>
      <w:jc w:val="center"/>
    </w:pPr>
    <w:rPr>
      <w:rFonts w:eastAsia="Arial Unicode MS"/>
      <w:sz w:val="18"/>
      <w:szCs w:val="18"/>
    </w:rPr>
  </w:style>
  <w:style w:type="paragraph" w:customStyle="1" w:styleId="xl41">
    <w:name w:val="xl41"/>
    <w:basedOn w:val="Normalny"/>
    <w:pPr>
      <w:pBdr>
        <w:top w:val="single" w:sz="4" w:space="0" w:color="auto"/>
        <w:bottom w:val="single" w:sz="4" w:space="0" w:color="auto"/>
      </w:pBdr>
      <w:spacing w:before="100" w:beforeAutospacing="1" w:after="100" w:afterAutospacing="1"/>
      <w:jc w:val="right"/>
      <w:textAlignment w:val="center"/>
    </w:pPr>
    <w:rPr>
      <w:rFonts w:eastAsia="Arial Unicode MS"/>
      <w:b/>
      <w:bCs/>
      <w:sz w:val="18"/>
      <w:szCs w:val="18"/>
    </w:rPr>
  </w:style>
  <w:style w:type="paragraph" w:customStyle="1" w:styleId="xl42">
    <w:name w:val="xl42"/>
    <w:basedOn w:val="Normalny"/>
    <w:pPr>
      <w:spacing w:before="100" w:beforeAutospacing="1" w:after="100" w:afterAutospacing="1"/>
      <w:jc w:val="right"/>
      <w:textAlignment w:val="center"/>
    </w:pPr>
    <w:rPr>
      <w:rFonts w:eastAsia="Arial Unicode MS"/>
      <w:sz w:val="18"/>
      <w:szCs w:val="18"/>
    </w:rPr>
  </w:style>
  <w:style w:type="paragraph" w:customStyle="1" w:styleId="xl43">
    <w:name w:val="xl43"/>
    <w:basedOn w:val="Normalny"/>
    <w:pPr>
      <w:spacing w:before="100" w:beforeAutospacing="1" w:after="100" w:afterAutospacing="1"/>
      <w:textAlignment w:val="center"/>
    </w:pPr>
    <w:rPr>
      <w:rFonts w:ascii="Times New Roman" w:eastAsia="Arial Unicode MS" w:hAnsi="Times New Roman"/>
      <w:b/>
      <w:bCs/>
      <w:sz w:val="18"/>
      <w:szCs w:val="18"/>
    </w:rPr>
  </w:style>
  <w:style w:type="paragraph" w:customStyle="1" w:styleId="xl44">
    <w:name w:val="xl44"/>
    <w:basedOn w:val="Normalny"/>
    <w:pPr>
      <w:spacing w:before="100" w:beforeAutospacing="1" w:after="100" w:afterAutospacing="1"/>
    </w:pPr>
    <w:rPr>
      <w:rFonts w:ascii="Times New Roman" w:eastAsia="Arial Unicode MS" w:hAnsi="Times New Roman"/>
      <w:b/>
      <w:bCs/>
      <w:sz w:val="18"/>
      <w:szCs w:val="18"/>
    </w:rPr>
  </w:style>
  <w:style w:type="paragraph" w:customStyle="1" w:styleId="xl45">
    <w:name w:val="xl45"/>
    <w:basedOn w:val="Normalny"/>
    <w:pPr>
      <w:spacing w:before="100" w:beforeAutospacing="1" w:after="100" w:afterAutospacing="1"/>
      <w:jc w:val="right"/>
      <w:textAlignment w:val="center"/>
    </w:pPr>
    <w:rPr>
      <w:rFonts w:ascii="Times New Roman" w:eastAsia="Arial Unicode MS" w:hAnsi="Times New Roman"/>
      <w:b/>
      <w:bCs/>
      <w:sz w:val="18"/>
      <w:szCs w:val="18"/>
    </w:rPr>
  </w:style>
  <w:style w:type="paragraph" w:customStyle="1" w:styleId="xl46">
    <w:name w:val="xl46"/>
    <w:basedOn w:val="Normalny"/>
    <w:pPr>
      <w:spacing w:before="100" w:beforeAutospacing="1" w:after="100" w:afterAutospacing="1"/>
      <w:jc w:val="center"/>
    </w:pPr>
    <w:rPr>
      <w:rFonts w:ascii="Times New Roman" w:eastAsia="Arial Unicode MS" w:hAnsi="Times New Roman"/>
      <w:sz w:val="18"/>
      <w:szCs w:val="18"/>
    </w:rPr>
  </w:style>
  <w:style w:type="paragraph" w:customStyle="1" w:styleId="xl47">
    <w:name w:val="xl47"/>
    <w:basedOn w:val="Normalny"/>
    <w:pPr>
      <w:pBdr>
        <w:bottom w:val="single" w:sz="4" w:space="0" w:color="auto"/>
      </w:pBdr>
      <w:spacing w:before="100" w:beforeAutospacing="1" w:after="100" w:afterAutospacing="1"/>
      <w:jc w:val="right"/>
    </w:pPr>
    <w:rPr>
      <w:rFonts w:eastAsia="Arial Unicode MS"/>
      <w:sz w:val="18"/>
      <w:szCs w:val="18"/>
    </w:rPr>
  </w:style>
  <w:style w:type="paragraph" w:customStyle="1" w:styleId="xl48">
    <w:name w:val="xl48"/>
    <w:basedOn w:val="Normalny"/>
    <w:pPr>
      <w:pBdr>
        <w:bottom w:val="single" w:sz="4" w:space="0" w:color="auto"/>
      </w:pBdr>
      <w:spacing w:before="100" w:beforeAutospacing="1" w:after="100" w:afterAutospacing="1"/>
    </w:pPr>
    <w:rPr>
      <w:rFonts w:eastAsia="Arial Unicode MS"/>
      <w:sz w:val="18"/>
      <w:szCs w:val="18"/>
    </w:rPr>
  </w:style>
  <w:style w:type="paragraph" w:customStyle="1" w:styleId="xl49">
    <w:name w:val="xl49"/>
    <w:basedOn w:val="Normalny"/>
    <w:pPr>
      <w:spacing w:before="100" w:beforeAutospacing="1" w:after="100" w:afterAutospacing="1"/>
      <w:textAlignment w:val="center"/>
    </w:pPr>
    <w:rPr>
      <w:rFonts w:eastAsia="Arial Unicode MS"/>
      <w:sz w:val="18"/>
      <w:szCs w:val="18"/>
    </w:rPr>
  </w:style>
  <w:style w:type="paragraph" w:customStyle="1" w:styleId="xl50">
    <w:name w:val="xl50"/>
    <w:basedOn w:val="Normalny"/>
    <w:pPr>
      <w:pBdr>
        <w:top w:val="single" w:sz="4" w:space="0" w:color="auto"/>
        <w:bottom w:val="single" w:sz="4" w:space="0" w:color="auto"/>
      </w:pBdr>
      <w:spacing w:before="100" w:beforeAutospacing="1" w:after="100" w:afterAutospacing="1"/>
      <w:jc w:val="right"/>
      <w:textAlignment w:val="center"/>
    </w:pPr>
    <w:rPr>
      <w:rFonts w:ascii="Times New Roman" w:eastAsia="Arial Unicode MS" w:hAnsi="Times New Roman"/>
      <w:b/>
      <w:bCs/>
      <w:sz w:val="18"/>
      <w:szCs w:val="18"/>
    </w:rPr>
  </w:style>
  <w:style w:type="paragraph" w:customStyle="1" w:styleId="xl51">
    <w:name w:val="xl51"/>
    <w:basedOn w:val="Normalny"/>
    <w:pPr>
      <w:spacing w:before="100" w:beforeAutospacing="1" w:after="100" w:afterAutospacing="1"/>
      <w:jc w:val="right"/>
      <w:textAlignment w:val="center"/>
    </w:pPr>
    <w:rPr>
      <w:rFonts w:ascii="Times New Roman" w:eastAsia="Arial Unicode MS" w:hAnsi="Times New Roman"/>
      <w:sz w:val="18"/>
      <w:szCs w:val="18"/>
    </w:rPr>
  </w:style>
  <w:style w:type="paragraph" w:customStyle="1" w:styleId="xl52">
    <w:name w:val="xl52"/>
    <w:basedOn w:val="Normalny"/>
    <w:pPr>
      <w:spacing w:before="100" w:beforeAutospacing="1" w:after="100" w:afterAutospacing="1"/>
      <w:jc w:val="center"/>
      <w:textAlignment w:val="center"/>
    </w:pPr>
    <w:rPr>
      <w:rFonts w:eastAsia="Arial Unicode MS"/>
      <w:sz w:val="18"/>
      <w:szCs w:val="18"/>
    </w:rPr>
  </w:style>
  <w:style w:type="paragraph" w:customStyle="1" w:styleId="xl53">
    <w:name w:val="xl53"/>
    <w:basedOn w:val="Normalny"/>
    <w:pPr>
      <w:spacing w:before="100" w:beforeAutospacing="1" w:after="100" w:afterAutospacing="1"/>
      <w:textAlignment w:val="center"/>
    </w:pPr>
    <w:rPr>
      <w:rFonts w:eastAsia="Arial Unicode MS"/>
      <w:sz w:val="18"/>
      <w:szCs w:val="18"/>
    </w:rPr>
  </w:style>
  <w:style w:type="paragraph" w:customStyle="1" w:styleId="xl54">
    <w:name w:val="xl54"/>
    <w:basedOn w:val="Normalny"/>
    <w:pPr>
      <w:pBdr>
        <w:top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5">
    <w:name w:val="xl55"/>
    <w:basedOn w:val="Normalny"/>
    <w:pPr>
      <w:spacing w:before="100" w:beforeAutospacing="1" w:after="100" w:afterAutospacing="1"/>
    </w:pPr>
    <w:rPr>
      <w:rFonts w:eastAsia="Arial Unicode MS"/>
      <w:b/>
      <w:bCs/>
      <w:sz w:val="18"/>
      <w:szCs w:val="18"/>
    </w:rPr>
  </w:style>
  <w:style w:type="paragraph" w:customStyle="1" w:styleId="xl56">
    <w:name w:val="xl56"/>
    <w:basedOn w:val="Normalny"/>
    <w:pPr>
      <w:spacing w:before="100" w:beforeAutospacing="1" w:after="100" w:afterAutospacing="1"/>
      <w:textAlignment w:val="center"/>
    </w:pPr>
    <w:rPr>
      <w:rFonts w:eastAsia="Arial Unicode MS"/>
      <w:b/>
      <w:bCs/>
      <w:sz w:val="18"/>
      <w:szCs w:val="18"/>
    </w:rPr>
  </w:style>
  <w:style w:type="paragraph" w:customStyle="1" w:styleId="xl57">
    <w:name w:val="xl57"/>
    <w:basedOn w:val="Normalny"/>
    <w:pPr>
      <w:pBdr>
        <w:top w:val="single" w:sz="4" w:space="0" w:color="auto"/>
        <w:bottom w:val="double" w:sz="6" w:space="0" w:color="auto"/>
      </w:pBdr>
      <w:spacing w:before="100" w:beforeAutospacing="1" w:after="100" w:afterAutospacing="1"/>
      <w:jc w:val="right"/>
      <w:textAlignment w:val="center"/>
    </w:pPr>
    <w:rPr>
      <w:rFonts w:eastAsia="Arial Unicode MS"/>
      <w:b/>
      <w:bCs/>
      <w:sz w:val="18"/>
      <w:szCs w:val="18"/>
    </w:rPr>
  </w:style>
  <w:style w:type="paragraph" w:customStyle="1" w:styleId="xl58">
    <w:name w:val="xl58"/>
    <w:basedOn w:val="Normalny"/>
    <w:pPr>
      <w:spacing w:before="100" w:beforeAutospacing="1" w:after="100" w:afterAutospacing="1"/>
    </w:pPr>
    <w:rPr>
      <w:rFonts w:eastAsia="Arial Unicode MS"/>
      <w:sz w:val="18"/>
      <w:szCs w:val="18"/>
    </w:rPr>
  </w:style>
  <w:style w:type="paragraph" w:customStyle="1" w:styleId="xl59">
    <w:name w:val="xl59"/>
    <w:basedOn w:val="Normalny"/>
    <w:pPr>
      <w:pBdr>
        <w:top w:val="single" w:sz="4" w:space="0" w:color="auto"/>
        <w:bottom w:val="single" w:sz="4" w:space="0" w:color="auto"/>
      </w:pBdr>
      <w:spacing w:before="100" w:beforeAutospacing="1" w:after="100" w:afterAutospacing="1"/>
      <w:jc w:val="right"/>
    </w:pPr>
    <w:rPr>
      <w:rFonts w:eastAsia="Arial Unicode MS"/>
      <w:sz w:val="18"/>
      <w:szCs w:val="18"/>
    </w:rPr>
  </w:style>
  <w:style w:type="paragraph" w:customStyle="1" w:styleId="Bullet">
    <w:name w:val="Bullet"/>
    <w:basedOn w:val="Normalny"/>
    <w:pPr>
      <w:tabs>
        <w:tab w:val="num" w:pos="360"/>
        <w:tab w:val="num" w:pos="567"/>
      </w:tabs>
      <w:spacing w:before="60"/>
      <w:ind w:left="360" w:hanging="567"/>
    </w:pPr>
    <w:rPr>
      <w:szCs w:val="20"/>
    </w:rPr>
  </w:style>
  <w:style w:type="paragraph" w:styleId="Tekstprzypisudolnego">
    <w:name w:val="footnote text"/>
    <w:basedOn w:val="Normalny"/>
    <w:semiHidden/>
    <w:rPr>
      <w:sz w:val="20"/>
      <w:szCs w:val="20"/>
      <w:lang w:val="en-US" w:eastAsia="en-US"/>
    </w:rPr>
  </w:style>
  <w:style w:type="character" w:styleId="Hipercze">
    <w:name w:val="Hyperlink"/>
    <w:uiPriority w:val="99"/>
    <w:unhideWhenUsed/>
    <w:rsid w:val="000A27F2"/>
    <w:rPr>
      <w:color w:val="0000FF"/>
      <w:u w:val="single"/>
    </w:rPr>
  </w:style>
  <w:style w:type="paragraph" w:styleId="Akapitzlist">
    <w:name w:val="List Paragraph"/>
    <w:basedOn w:val="Normalny"/>
    <w:uiPriority w:val="34"/>
    <w:qFormat/>
    <w:rsid w:val="001167D9"/>
    <w:pPr>
      <w:ind w:left="720"/>
    </w:pPr>
  </w:style>
  <w:style w:type="character" w:styleId="Odwoaniedokomentarza">
    <w:name w:val="annotation reference"/>
    <w:uiPriority w:val="99"/>
    <w:semiHidden/>
    <w:unhideWhenUsed/>
    <w:rsid w:val="006D737D"/>
    <w:rPr>
      <w:sz w:val="16"/>
      <w:szCs w:val="16"/>
    </w:rPr>
  </w:style>
  <w:style w:type="paragraph" w:styleId="Tekstkomentarza">
    <w:name w:val="annotation text"/>
    <w:basedOn w:val="Normalny"/>
    <w:link w:val="TekstkomentarzaZnak"/>
    <w:uiPriority w:val="99"/>
    <w:semiHidden/>
    <w:unhideWhenUsed/>
    <w:rsid w:val="006D737D"/>
    <w:rPr>
      <w:sz w:val="20"/>
      <w:szCs w:val="20"/>
    </w:rPr>
  </w:style>
  <w:style w:type="character" w:customStyle="1" w:styleId="TekstkomentarzaZnak">
    <w:name w:val="Tekst komentarza Znak"/>
    <w:link w:val="Tekstkomentarza"/>
    <w:uiPriority w:val="99"/>
    <w:semiHidden/>
    <w:rsid w:val="006D737D"/>
    <w:rPr>
      <w:noProof/>
    </w:rPr>
  </w:style>
  <w:style w:type="paragraph" w:styleId="Tematkomentarza">
    <w:name w:val="annotation subject"/>
    <w:basedOn w:val="Tekstkomentarza"/>
    <w:next w:val="Tekstkomentarza"/>
    <w:link w:val="TematkomentarzaZnak"/>
    <w:uiPriority w:val="99"/>
    <w:semiHidden/>
    <w:unhideWhenUsed/>
    <w:rsid w:val="006D737D"/>
    <w:rPr>
      <w:b/>
      <w:bCs/>
    </w:rPr>
  </w:style>
  <w:style w:type="character" w:customStyle="1" w:styleId="TematkomentarzaZnak">
    <w:name w:val="Temat komentarza Znak"/>
    <w:link w:val="Tematkomentarza"/>
    <w:uiPriority w:val="99"/>
    <w:semiHidden/>
    <w:rsid w:val="006D737D"/>
    <w:rPr>
      <w:b/>
      <w:bCs/>
      <w:noProof/>
    </w:rPr>
  </w:style>
  <w:style w:type="paragraph" w:styleId="Tekstdymka">
    <w:name w:val="Balloon Text"/>
    <w:basedOn w:val="Normalny"/>
    <w:link w:val="TekstdymkaZnak"/>
    <w:uiPriority w:val="99"/>
    <w:semiHidden/>
    <w:unhideWhenUsed/>
    <w:rsid w:val="006D737D"/>
    <w:rPr>
      <w:rFonts w:ascii="Tahoma" w:hAnsi="Tahoma" w:cs="Tahoma"/>
      <w:sz w:val="16"/>
      <w:szCs w:val="16"/>
    </w:rPr>
  </w:style>
  <w:style w:type="character" w:customStyle="1" w:styleId="TekstdymkaZnak">
    <w:name w:val="Tekst dymka Znak"/>
    <w:link w:val="Tekstdymka"/>
    <w:uiPriority w:val="99"/>
    <w:semiHidden/>
    <w:rsid w:val="006D737D"/>
    <w:rPr>
      <w:rFonts w:ascii="Tahoma" w:hAnsi="Tahoma" w:cs="Tahoma"/>
      <w:noProof/>
      <w:sz w:val="16"/>
      <w:szCs w:val="16"/>
    </w:rPr>
  </w:style>
  <w:style w:type="table" w:styleId="Tabela-Siatka">
    <w:name w:val="Table Grid"/>
    <w:basedOn w:val="Standardowy"/>
    <w:uiPriority w:val="59"/>
    <w:rsid w:val="00295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246DA"/>
    <w:rPr>
      <w:rFonts w:ascii="Calibri" w:hAnsi="Calibri"/>
      <w:sz w:val="22"/>
      <w:szCs w:val="24"/>
    </w:rPr>
  </w:style>
  <w:style w:type="paragraph" w:customStyle="1" w:styleId="4A-pismo2F5">
    <w:name w:val="4A-pismo2_F5"/>
    <w:basedOn w:val="Normalny"/>
    <w:qFormat/>
    <w:rsid w:val="0044300F"/>
    <w:pPr>
      <w:spacing w:after="80" w:line="276" w:lineRule="auto"/>
    </w:pPr>
    <w:rPr>
      <w:lang w:eastAsia="en-US"/>
    </w:rPr>
  </w:style>
  <w:style w:type="paragraph" w:customStyle="1" w:styleId="0HLBpismo">
    <w:name w:val="0_HLB_pismo"/>
    <w:basedOn w:val="Normalny"/>
    <w:link w:val="0HLBpismoZnak"/>
    <w:uiPriority w:val="99"/>
    <w:rsid w:val="001462F2"/>
    <w:pPr>
      <w:spacing w:before="0" w:after="0"/>
    </w:pPr>
    <w:rPr>
      <w:rFonts w:ascii="Arial" w:hAnsi="Arial" w:cs="Book Antiqua"/>
      <w:sz w:val="18"/>
      <w:szCs w:val="22"/>
    </w:rPr>
  </w:style>
  <w:style w:type="character" w:customStyle="1" w:styleId="0HLBpismoZnak">
    <w:name w:val="0_HLB_pismo Znak"/>
    <w:link w:val="0HLBpismo"/>
    <w:uiPriority w:val="99"/>
    <w:rsid w:val="001462F2"/>
    <w:rPr>
      <w:rFonts w:ascii="Arial" w:hAnsi="Arial" w:cs="Book Antiqua"/>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47172">
      <w:bodyDiv w:val="1"/>
      <w:marLeft w:val="0"/>
      <w:marRight w:val="0"/>
      <w:marTop w:val="0"/>
      <w:marBottom w:val="0"/>
      <w:divBdr>
        <w:top w:val="none" w:sz="0" w:space="0" w:color="auto"/>
        <w:left w:val="none" w:sz="0" w:space="0" w:color="auto"/>
        <w:bottom w:val="none" w:sz="0" w:space="0" w:color="auto"/>
        <w:right w:val="none" w:sz="0" w:space="0" w:color="auto"/>
      </w:divBdr>
    </w:div>
    <w:div w:id="299650447">
      <w:bodyDiv w:val="1"/>
      <w:marLeft w:val="0"/>
      <w:marRight w:val="0"/>
      <w:marTop w:val="0"/>
      <w:marBottom w:val="0"/>
      <w:divBdr>
        <w:top w:val="none" w:sz="0" w:space="0" w:color="auto"/>
        <w:left w:val="none" w:sz="0" w:space="0" w:color="auto"/>
        <w:bottom w:val="none" w:sz="0" w:space="0" w:color="auto"/>
        <w:right w:val="none" w:sz="0" w:space="0" w:color="auto"/>
      </w:divBdr>
    </w:div>
    <w:div w:id="447966798">
      <w:bodyDiv w:val="1"/>
      <w:marLeft w:val="0"/>
      <w:marRight w:val="0"/>
      <w:marTop w:val="0"/>
      <w:marBottom w:val="0"/>
      <w:divBdr>
        <w:top w:val="none" w:sz="0" w:space="0" w:color="auto"/>
        <w:left w:val="none" w:sz="0" w:space="0" w:color="auto"/>
        <w:bottom w:val="none" w:sz="0" w:space="0" w:color="auto"/>
        <w:right w:val="none" w:sz="0" w:space="0" w:color="auto"/>
      </w:divBdr>
    </w:div>
    <w:div w:id="513227527">
      <w:bodyDiv w:val="1"/>
      <w:marLeft w:val="0"/>
      <w:marRight w:val="0"/>
      <w:marTop w:val="0"/>
      <w:marBottom w:val="0"/>
      <w:divBdr>
        <w:top w:val="none" w:sz="0" w:space="0" w:color="auto"/>
        <w:left w:val="none" w:sz="0" w:space="0" w:color="auto"/>
        <w:bottom w:val="none" w:sz="0" w:space="0" w:color="auto"/>
        <w:right w:val="none" w:sz="0" w:space="0" w:color="auto"/>
      </w:divBdr>
    </w:div>
    <w:div w:id="520585112">
      <w:bodyDiv w:val="1"/>
      <w:marLeft w:val="0"/>
      <w:marRight w:val="0"/>
      <w:marTop w:val="0"/>
      <w:marBottom w:val="0"/>
      <w:divBdr>
        <w:top w:val="none" w:sz="0" w:space="0" w:color="auto"/>
        <w:left w:val="none" w:sz="0" w:space="0" w:color="auto"/>
        <w:bottom w:val="none" w:sz="0" w:space="0" w:color="auto"/>
        <w:right w:val="none" w:sz="0" w:space="0" w:color="auto"/>
      </w:divBdr>
    </w:div>
    <w:div w:id="570968497">
      <w:bodyDiv w:val="1"/>
      <w:marLeft w:val="0"/>
      <w:marRight w:val="0"/>
      <w:marTop w:val="0"/>
      <w:marBottom w:val="0"/>
      <w:divBdr>
        <w:top w:val="none" w:sz="0" w:space="0" w:color="auto"/>
        <w:left w:val="none" w:sz="0" w:space="0" w:color="auto"/>
        <w:bottom w:val="none" w:sz="0" w:space="0" w:color="auto"/>
        <w:right w:val="none" w:sz="0" w:space="0" w:color="auto"/>
      </w:divBdr>
    </w:div>
    <w:div w:id="719207705">
      <w:bodyDiv w:val="1"/>
      <w:marLeft w:val="0"/>
      <w:marRight w:val="0"/>
      <w:marTop w:val="0"/>
      <w:marBottom w:val="0"/>
      <w:divBdr>
        <w:top w:val="none" w:sz="0" w:space="0" w:color="auto"/>
        <w:left w:val="none" w:sz="0" w:space="0" w:color="auto"/>
        <w:bottom w:val="none" w:sz="0" w:space="0" w:color="auto"/>
        <w:right w:val="none" w:sz="0" w:space="0" w:color="auto"/>
      </w:divBdr>
    </w:div>
    <w:div w:id="903680624">
      <w:bodyDiv w:val="1"/>
      <w:marLeft w:val="0"/>
      <w:marRight w:val="0"/>
      <w:marTop w:val="0"/>
      <w:marBottom w:val="0"/>
      <w:divBdr>
        <w:top w:val="none" w:sz="0" w:space="0" w:color="auto"/>
        <w:left w:val="none" w:sz="0" w:space="0" w:color="auto"/>
        <w:bottom w:val="none" w:sz="0" w:space="0" w:color="auto"/>
        <w:right w:val="none" w:sz="0" w:space="0" w:color="auto"/>
      </w:divBdr>
    </w:div>
    <w:div w:id="1048798236">
      <w:bodyDiv w:val="1"/>
      <w:marLeft w:val="0"/>
      <w:marRight w:val="0"/>
      <w:marTop w:val="0"/>
      <w:marBottom w:val="0"/>
      <w:divBdr>
        <w:top w:val="none" w:sz="0" w:space="0" w:color="auto"/>
        <w:left w:val="none" w:sz="0" w:space="0" w:color="auto"/>
        <w:bottom w:val="none" w:sz="0" w:space="0" w:color="auto"/>
        <w:right w:val="none" w:sz="0" w:space="0" w:color="auto"/>
      </w:divBdr>
    </w:div>
    <w:div w:id="1551573230">
      <w:bodyDiv w:val="1"/>
      <w:marLeft w:val="0"/>
      <w:marRight w:val="0"/>
      <w:marTop w:val="0"/>
      <w:marBottom w:val="0"/>
      <w:divBdr>
        <w:top w:val="none" w:sz="0" w:space="0" w:color="auto"/>
        <w:left w:val="none" w:sz="0" w:space="0" w:color="auto"/>
        <w:bottom w:val="none" w:sz="0" w:space="0" w:color="auto"/>
        <w:right w:val="none" w:sz="0" w:space="0" w:color="auto"/>
      </w:divBdr>
    </w:div>
    <w:div w:id="1593590297">
      <w:bodyDiv w:val="1"/>
      <w:marLeft w:val="0"/>
      <w:marRight w:val="0"/>
      <w:marTop w:val="0"/>
      <w:marBottom w:val="0"/>
      <w:divBdr>
        <w:top w:val="none" w:sz="0" w:space="0" w:color="auto"/>
        <w:left w:val="none" w:sz="0" w:space="0" w:color="auto"/>
        <w:bottom w:val="none" w:sz="0" w:space="0" w:color="auto"/>
        <w:right w:val="none" w:sz="0" w:space="0" w:color="auto"/>
      </w:divBdr>
    </w:div>
    <w:div w:id="17769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84C2D-4DD6-41F9-9E8D-71C34B99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7019</Words>
  <Characters>42118</Characters>
  <Application>Microsoft Office Word</Application>
  <DocSecurity>0</DocSecurity>
  <Lines>350</Lines>
  <Paragraphs>98</Paragraphs>
  <ScaleCrop>false</ScaleCrop>
  <HeadingPairs>
    <vt:vector size="2" baseType="variant">
      <vt:variant>
        <vt:lpstr>Tytuł</vt:lpstr>
      </vt:variant>
      <vt:variant>
        <vt:i4>1</vt:i4>
      </vt:variant>
    </vt:vector>
  </HeadingPairs>
  <TitlesOfParts>
    <vt:vector size="1" baseType="lpstr">
      <vt:lpstr>[nazwa firmy] Sp</vt:lpstr>
    </vt:vector>
  </TitlesOfParts>
  <Company>4 Audyt spółka z o.o.</Company>
  <LinksUpToDate>false</LinksUpToDate>
  <CharactersWithSpaces>49039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firmy] Sp</dc:title>
  <dc:subject/>
  <dc:creator>4 AUDYT</dc:creator>
  <cp:keywords/>
  <cp:lastModifiedBy>Lukasz Motala</cp:lastModifiedBy>
  <cp:revision>2</cp:revision>
  <cp:lastPrinted>2005-06-13T09:15:00Z</cp:lastPrinted>
  <dcterms:created xsi:type="dcterms:W3CDTF">2026-02-08T22:29:00Z</dcterms:created>
  <dcterms:modified xsi:type="dcterms:W3CDTF">2026-02-08T22:29:00Z</dcterms:modified>
</cp:coreProperties>
</file>